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9E26" w14:textId="77777777" w:rsidR="00FB34B1" w:rsidRDefault="00FB34B1" w:rsidP="00FB34B1">
      <w:pPr>
        <w:pBdr>
          <w:top w:val="single" w:sz="12" w:space="1" w:color="80340D" w:themeColor="accent2" w:themeShade="80"/>
        </w:pBdr>
        <w:jc w:val="both"/>
        <w:rPr>
          <w:rFonts w:ascii="Cambria" w:hAnsi="Cambria"/>
          <w:b/>
          <w:bCs/>
          <w:color w:val="80340D" w:themeColor="accent2" w:themeShade="80"/>
          <w:sz w:val="28"/>
          <w:szCs w:val="28"/>
        </w:rPr>
      </w:pPr>
    </w:p>
    <w:p w14:paraId="3FB5BA75" w14:textId="0205BDFB" w:rsidR="00E0569A" w:rsidRPr="00E0569A" w:rsidRDefault="00E0569A" w:rsidP="00FB34B1">
      <w:pPr>
        <w:pBdr>
          <w:top w:val="single" w:sz="12" w:space="1" w:color="80340D" w:themeColor="accent2" w:themeShade="80"/>
        </w:pBdr>
        <w:jc w:val="both"/>
        <w:rPr>
          <w:rFonts w:ascii="Cambria" w:hAnsi="Cambria"/>
          <w:b/>
          <w:bCs/>
          <w:color w:val="80340D" w:themeColor="accent2" w:themeShade="80"/>
          <w:sz w:val="36"/>
          <w:szCs w:val="36"/>
        </w:rPr>
      </w:pPr>
      <w:r w:rsidRPr="00E0569A">
        <w:rPr>
          <w:rFonts w:ascii="Cambria" w:hAnsi="Cambria"/>
          <w:b/>
          <w:bCs/>
          <w:color w:val="80340D" w:themeColor="accent2" w:themeShade="80"/>
          <w:sz w:val="36"/>
          <w:szCs w:val="36"/>
        </w:rPr>
        <w:t>Mutations du risque</w:t>
      </w:r>
      <w:r w:rsidR="00D04B39">
        <w:rPr>
          <w:rFonts w:ascii="Cambria" w:hAnsi="Cambria"/>
          <w:b/>
          <w:bCs/>
          <w:color w:val="80340D" w:themeColor="accent2" w:themeShade="80"/>
          <w:sz w:val="36"/>
          <w:szCs w:val="36"/>
        </w:rPr>
        <w:t xml:space="preserve"> agricole : enjeux</w:t>
      </w:r>
      <w:r w:rsidRPr="00E0569A">
        <w:rPr>
          <w:rFonts w:ascii="Cambria" w:hAnsi="Cambria"/>
          <w:b/>
          <w:bCs/>
          <w:color w:val="80340D" w:themeColor="accent2" w:themeShade="80"/>
          <w:sz w:val="36"/>
          <w:szCs w:val="36"/>
        </w:rPr>
        <w:t xml:space="preserve"> et défis sociétaux </w:t>
      </w:r>
    </w:p>
    <w:p w14:paraId="499FA700" w14:textId="1AE5F736" w:rsidR="00186B39" w:rsidRDefault="00186B39" w:rsidP="00186B39">
      <w:pPr>
        <w:jc w:val="both"/>
        <w:rPr>
          <w:rFonts w:ascii="Cambria" w:hAnsi="Cambria"/>
          <w:b/>
          <w:bCs/>
          <w:color w:val="80340D" w:themeColor="accent2" w:themeShade="80"/>
          <w:sz w:val="28"/>
          <w:szCs w:val="28"/>
        </w:rPr>
      </w:pPr>
      <w:r>
        <w:rPr>
          <w:rFonts w:ascii="Cambria" w:hAnsi="Cambria"/>
          <w:b/>
          <w:bCs/>
          <w:color w:val="80340D" w:themeColor="accent2" w:themeShade="80"/>
          <w:sz w:val="28"/>
          <w:szCs w:val="28"/>
        </w:rPr>
        <w:t>Bruno Schiffers, novembre 2025</w:t>
      </w:r>
    </w:p>
    <w:p w14:paraId="1B378EDA" w14:textId="77777777" w:rsidR="00186B39" w:rsidRDefault="00186B39" w:rsidP="00186B39">
      <w:pPr>
        <w:jc w:val="both"/>
        <w:rPr>
          <w:rFonts w:ascii="Cambria" w:hAnsi="Cambria"/>
          <w:b/>
          <w:bCs/>
          <w:color w:val="80340D" w:themeColor="accent2" w:themeShade="80"/>
          <w:sz w:val="28"/>
          <w:szCs w:val="28"/>
        </w:rPr>
      </w:pPr>
    </w:p>
    <w:p w14:paraId="1819E2DF" w14:textId="77777777" w:rsidR="009E7958" w:rsidRDefault="009E7958" w:rsidP="00FB34B1">
      <w:pPr>
        <w:pBdr>
          <w:top w:val="single" w:sz="12" w:space="1" w:color="80340D" w:themeColor="accent2" w:themeShade="80"/>
        </w:pBdr>
        <w:jc w:val="both"/>
        <w:rPr>
          <w:rFonts w:ascii="Cambria" w:hAnsi="Cambria"/>
          <w:b/>
          <w:bCs/>
          <w:color w:val="80340D" w:themeColor="accent2" w:themeShade="80"/>
          <w:sz w:val="28"/>
          <w:szCs w:val="28"/>
        </w:rPr>
      </w:pPr>
    </w:p>
    <w:p w14:paraId="34F415DA" w14:textId="77777777" w:rsidR="009E7958" w:rsidRPr="009E7958" w:rsidRDefault="009E7958" w:rsidP="009E7958">
      <w:pPr>
        <w:pBdr>
          <w:top w:val="single" w:sz="12" w:space="1" w:color="80340D" w:themeColor="accent2" w:themeShade="80"/>
        </w:pBdr>
        <w:jc w:val="both"/>
        <w:rPr>
          <w:rFonts w:ascii="Cambria" w:hAnsi="Cambria"/>
          <w:b/>
          <w:bCs/>
          <w:i/>
          <w:iCs/>
          <w:color w:val="80340D" w:themeColor="accent2" w:themeShade="80"/>
          <w:sz w:val="28"/>
          <w:szCs w:val="28"/>
        </w:rPr>
      </w:pPr>
      <w:r w:rsidRPr="009E7958">
        <w:rPr>
          <w:rFonts w:ascii="Cambria" w:hAnsi="Cambria"/>
          <w:b/>
          <w:bCs/>
          <w:i/>
          <w:iCs/>
          <w:color w:val="80340D" w:themeColor="accent2" w:themeShade="80"/>
          <w:sz w:val="28"/>
          <w:szCs w:val="28"/>
        </w:rPr>
        <w:t>Quand l’agriculture nourrit aussi le risque</w:t>
      </w:r>
    </w:p>
    <w:p w14:paraId="12F7116F" w14:textId="1B8AAC6E" w:rsidR="009E7958" w:rsidRPr="009E7958" w:rsidRDefault="009E7958" w:rsidP="009E7958">
      <w:pPr>
        <w:spacing w:before="40"/>
        <w:jc w:val="both"/>
        <w:rPr>
          <w:rFonts w:ascii="Cambria" w:hAnsi="Cambria"/>
          <w:i/>
          <w:iCs/>
          <w:sz w:val="24"/>
          <w:szCs w:val="24"/>
        </w:rPr>
      </w:pPr>
      <w:r w:rsidRPr="009E7958">
        <w:rPr>
          <w:rFonts w:ascii="Cambria" w:hAnsi="Cambria"/>
          <w:i/>
          <w:iCs/>
          <w:sz w:val="24"/>
          <w:szCs w:val="24"/>
        </w:rPr>
        <w:t>Sécheresses, ravageurs, maladies : hier, les paysans affrontaient les caprices de la nature.</w:t>
      </w:r>
      <w:r w:rsidRPr="009E7958">
        <w:rPr>
          <w:rFonts w:ascii="Cambria" w:hAnsi="Cambria"/>
          <w:i/>
          <w:iCs/>
          <w:sz w:val="24"/>
          <w:szCs w:val="24"/>
        </w:rPr>
        <w:br/>
        <w:t>Aujourd’hui, ce sont les pesticides, engrais et biotechnologies qui posent de nouvelles menaces</w:t>
      </w:r>
      <w:r>
        <w:rPr>
          <w:rFonts w:ascii="Cambria" w:hAnsi="Cambria"/>
          <w:i/>
          <w:iCs/>
          <w:sz w:val="24"/>
          <w:szCs w:val="24"/>
        </w:rPr>
        <w:t>,</w:t>
      </w:r>
      <w:r w:rsidRPr="009E7958">
        <w:rPr>
          <w:rFonts w:ascii="Cambria" w:hAnsi="Cambria"/>
          <w:i/>
          <w:iCs/>
          <w:sz w:val="24"/>
          <w:szCs w:val="24"/>
        </w:rPr>
        <w:t xml:space="preserve"> invisibles, diffuses, parfois irréversibles.</w:t>
      </w:r>
    </w:p>
    <w:p w14:paraId="2B647C82" w14:textId="29CDC611" w:rsidR="009E7958" w:rsidRPr="009E7958" w:rsidRDefault="009E7958" w:rsidP="009E7958">
      <w:pPr>
        <w:spacing w:before="40"/>
        <w:jc w:val="both"/>
        <w:rPr>
          <w:rFonts w:ascii="Cambria" w:hAnsi="Cambria"/>
          <w:i/>
          <w:iCs/>
          <w:sz w:val="24"/>
          <w:szCs w:val="24"/>
        </w:rPr>
      </w:pPr>
      <w:r w:rsidRPr="009E7958">
        <w:rPr>
          <w:rFonts w:ascii="Cambria" w:hAnsi="Cambria"/>
          <w:i/>
          <w:iCs/>
          <w:sz w:val="24"/>
          <w:szCs w:val="24"/>
        </w:rPr>
        <w:t xml:space="preserve">Alors, </w:t>
      </w:r>
      <w:r>
        <w:rPr>
          <w:rFonts w:ascii="Cambria" w:hAnsi="Cambria"/>
          <w:i/>
          <w:iCs/>
          <w:sz w:val="24"/>
          <w:szCs w:val="24"/>
        </w:rPr>
        <w:t xml:space="preserve">quelques </w:t>
      </w:r>
      <w:r w:rsidRPr="009E7958">
        <w:rPr>
          <w:rFonts w:ascii="Cambria" w:hAnsi="Cambria"/>
          <w:i/>
          <w:iCs/>
          <w:sz w:val="24"/>
          <w:szCs w:val="24"/>
        </w:rPr>
        <w:t>question</w:t>
      </w:r>
      <w:r>
        <w:rPr>
          <w:rFonts w:ascii="Cambria" w:hAnsi="Cambria"/>
          <w:i/>
          <w:iCs/>
          <w:sz w:val="24"/>
          <w:szCs w:val="24"/>
        </w:rPr>
        <w:t>s</w:t>
      </w:r>
      <w:r w:rsidRPr="009E7958">
        <w:rPr>
          <w:rFonts w:ascii="Cambria" w:hAnsi="Cambria"/>
          <w:i/>
          <w:iCs/>
          <w:sz w:val="24"/>
          <w:szCs w:val="24"/>
        </w:rPr>
        <w:t xml:space="preserve"> s’impose</w:t>
      </w:r>
      <w:r>
        <w:rPr>
          <w:rFonts w:ascii="Cambria" w:hAnsi="Cambria"/>
          <w:i/>
          <w:iCs/>
          <w:sz w:val="24"/>
          <w:szCs w:val="24"/>
        </w:rPr>
        <w:t xml:space="preserve">nt </w:t>
      </w:r>
      <w:r w:rsidRPr="009E7958">
        <w:rPr>
          <w:rFonts w:ascii="Cambria" w:hAnsi="Cambria"/>
          <w:i/>
          <w:iCs/>
          <w:sz w:val="24"/>
          <w:szCs w:val="24"/>
        </w:rPr>
        <w:t>:</w:t>
      </w:r>
    </w:p>
    <w:p w14:paraId="49094F02" w14:textId="2ECEE5A0" w:rsidR="009E7958" w:rsidRDefault="002E18B9" w:rsidP="009E7958">
      <w:pPr>
        <w:numPr>
          <w:ilvl w:val="0"/>
          <w:numId w:val="8"/>
        </w:numPr>
        <w:spacing w:before="40"/>
        <w:jc w:val="both"/>
        <w:rPr>
          <w:rFonts w:ascii="Cambria" w:hAnsi="Cambria"/>
          <w:i/>
          <w:iCs/>
          <w:sz w:val="24"/>
          <w:szCs w:val="24"/>
        </w:rPr>
      </w:pPr>
      <w:r>
        <w:rPr>
          <w:rFonts w:ascii="Cambria" w:hAnsi="Cambria"/>
          <w:i/>
          <w:iCs/>
          <w:sz w:val="24"/>
          <w:szCs w:val="24"/>
        </w:rPr>
        <w:t>Cultiver l’abondance et semer le risque : j</w:t>
      </w:r>
      <w:r w:rsidR="009E7958" w:rsidRPr="009E7958">
        <w:rPr>
          <w:rFonts w:ascii="Cambria" w:hAnsi="Cambria"/>
          <w:i/>
          <w:iCs/>
          <w:sz w:val="24"/>
          <w:szCs w:val="24"/>
        </w:rPr>
        <w:t>usqu’où pouvons-nous accepter que la production agricole mette en jeu notre santé, notre environnement… et l’avenir même des générations futures ?</w:t>
      </w:r>
    </w:p>
    <w:p w14:paraId="4BD02920" w14:textId="7CCF5329" w:rsidR="00D04B39" w:rsidRDefault="00D04B39" w:rsidP="009E7958">
      <w:pPr>
        <w:numPr>
          <w:ilvl w:val="0"/>
          <w:numId w:val="8"/>
        </w:numPr>
        <w:spacing w:before="40"/>
        <w:jc w:val="both"/>
        <w:rPr>
          <w:rFonts w:ascii="Cambria" w:hAnsi="Cambria"/>
          <w:i/>
          <w:iCs/>
          <w:sz w:val="24"/>
          <w:szCs w:val="24"/>
        </w:rPr>
      </w:pPr>
      <w:r w:rsidRPr="00D04B39">
        <w:rPr>
          <w:rFonts w:ascii="Cambria" w:hAnsi="Cambria"/>
          <w:i/>
          <w:iCs/>
          <w:sz w:val="24"/>
          <w:szCs w:val="24"/>
        </w:rPr>
        <w:t xml:space="preserve">Les bénéfices </w:t>
      </w:r>
      <w:r>
        <w:rPr>
          <w:rFonts w:ascii="Cambria" w:hAnsi="Cambria"/>
          <w:i/>
          <w:iCs/>
          <w:sz w:val="24"/>
          <w:szCs w:val="24"/>
        </w:rPr>
        <w:t>attendus de la</w:t>
      </w:r>
      <w:r w:rsidRPr="00D04B39">
        <w:rPr>
          <w:rFonts w:ascii="Cambria" w:hAnsi="Cambria"/>
          <w:i/>
          <w:iCs/>
          <w:sz w:val="24"/>
          <w:szCs w:val="24"/>
        </w:rPr>
        <w:t xml:space="preserve"> technologie peuvent-ils justifier </w:t>
      </w:r>
      <w:r>
        <w:rPr>
          <w:rFonts w:ascii="Cambria" w:hAnsi="Cambria"/>
          <w:i/>
          <w:iCs/>
          <w:sz w:val="24"/>
          <w:szCs w:val="24"/>
        </w:rPr>
        <w:t>une prise de risque</w:t>
      </w:r>
      <w:r w:rsidRPr="00D04B39">
        <w:rPr>
          <w:rFonts w:ascii="Cambria" w:hAnsi="Cambria"/>
          <w:i/>
          <w:iCs/>
          <w:sz w:val="24"/>
          <w:szCs w:val="24"/>
        </w:rPr>
        <w:t xml:space="preserve"> dont nous ne maîtrisons ni l’ampleur ni la durée ?</w:t>
      </w:r>
    </w:p>
    <w:p w14:paraId="0B715228" w14:textId="42A3C851" w:rsidR="009E7958" w:rsidRDefault="00E0569A" w:rsidP="009E7958">
      <w:pPr>
        <w:numPr>
          <w:ilvl w:val="0"/>
          <w:numId w:val="8"/>
        </w:numPr>
        <w:spacing w:before="40"/>
        <w:jc w:val="both"/>
        <w:rPr>
          <w:rFonts w:ascii="Cambria" w:hAnsi="Cambria"/>
          <w:i/>
          <w:iCs/>
          <w:sz w:val="24"/>
          <w:szCs w:val="24"/>
        </w:rPr>
      </w:pPr>
      <w:r w:rsidRPr="00E0569A">
        <w:rPr>
          <w:rFonts w:ascii="Cambria" w:hAnsi="Cambria"/>
          <w:i/>
          <w:iCs/>
          <w:sz w:val="24"/>
          <w:szCs w:val="24"/>
        </w:rPr>
        <w:t xml:space="preserve">Le débat sur ce qui est un risque acceptable peut-il rester l’affaire des seuls experts et politiques… sans que les citoyens y reprennent toute leur place </w:t>
      </w:r>
      <w:r>
        <w:rPr>
          <w:rFonts w:ascii="Cambria" w:hAnsi="Cambria"/>
          <w:i/>
          <w:iCs/>
          <w:sz w:val="24"/>
          <w:szCs w:val="24"/>
        </w:rPr>
        <w:t>?</w:t>
      </w:r>
    </w:p>
    <w:p w14:paraId="5081E5B7" w14:textId="77777777" w:rsidR="009E7958" w:rsidRPr="009E7958" w:rsidRDefault="009E7958" w:rsidP="009E7958">
      <w:pPr>
        <w:jc w:val="both"/>
        <w:rPr>
          <w:rFonts w:ascii="Cambria" w:hAnsi="Cambria"/>
          <w:color w:val="80340D" w:themeColor="accent2" w:themeShade="80"/>
          <w:sz w:val="24"/>
          <w:szCs w:val="24"/>
        </w:rPr>
      </w:pPr>
    </w:p>
    <w:p w14:paraId="639E76CD" w14:textId="4310C34B" w:rsidR="005E6D12" w:rsidRPr="009E7958" w:rsidRDefault="00FB34B1" w:rsidP="005E6D12">
      <w:pPr>
        <w:jc w:val="both"/>
        <w:rPr>
          <w:rFonts w:ascii="Cambria" w:hAnsi="Cambria"/>
          <w:b/>
          <w:bCs/>
          <w:color w:val="80340D" w:themeColor="accent2" w:themeShade="80"/>
          <w:sz w:val="28"/>
          <w:szCs w:val="28"/>
        </w:rPr>
      </w:pPr>
      <w:r w:rsidRPr="009E7958">
        <w:rPr>
          <w:rFonts w:ascii="Cambria" w:hAnsi="Cambria"/>
          <w:b/>
          <w:bCs/>
          <w:color w:val="80340D" w:themeColor="accent2" w:themeShade="80"/>
          <w:sz w:val="28"/>
          <w:szCs w:val="28"/>
        </w:rPr>
        <w:t>Heuristiques du risque : de l’aléa naturel à l’incertitude technologique</w:t>
      </w:r>
    </w:p>
    <w:p w14:paraId="353EBE21" w14:textId="77777777" w:rsidR="00FB34B1" w:rsidRPr="005E6D12" w:rsidRDefault="00FB34B1" w:rsidP="005E6D12">
      <w:pPr>
        <w:jc w:val="both"/>
        <w:rPr>
          <w:rFonts w:ascii="Cambria" w:hAnsi="Cambria"/>
          <w:sz w:val="24"/>
          <w:szCs w:val="24"/>
        </w:rPr>
      </w:pPr>
    </w:p>
    <w:p w14:paraId="0892E1D9" w14:textId="2A77758E" w:rsidR="00EE608F" w:rsidRPr="006738FD" w:rsidRDefault="00EE608F" w:rsidP="005E6D12">
      <w:pPr>
        <w:jc w:val="both"/>
        <w:rPr>
          <w:rFonts w:ascii="Cambria" w:hAnsi="Cambria"/>
          <w:b/>
          <w:bCs/>
          <w:color w:val="80340D" w:themeColor="accent2" w:themeShade="80"/>
          <w:sz w:val="24"/>
          <w:szCs w:val="24"/>
        </w:rPr>
      </w:pPr>
      <w:r w:rsidRPr="006738FD">
        <w:rPr>
          <w:rFonts w:ascii="Cambria" w:hAnsi="Cambria"/>
          <w:b/>
          <w:bCs/>
          <w:color w:val="80340D" w:themeColor="accent2" w:themeShade="80"/>
          <w:sz w:val="24"/>
          <w:szCs w:val="24"/>
        </w:rPr>
        <w:t>Quand le risque change de nature</w:t>
      </w:r>
    </w:p>
    <w:p w14:paraId="3AA1D0BE" w14:textId="77777777" w:rsidR="00EE608F" w:rsidRDefault="00EE608F" w:rsidP="005E6D12">
      <w:pPr>
        <w:jc w:val="both"/>
        <w:rPr>
          <w:rFonts w:ascii="Cambria" w:hAnsi="Cambria"/>
          <w:sz w:val="24"/>
          <w:szCs w:val="24"/>
        </w:rPr>
      </w:pPr>
    </w:p>
    <w:p w14:paraId="165EFA7F" w14:textId="05EEF10A" w:rsidR="005E6D12" w:rsidRDefault="005E6D12" w:rsidP="005E6D12">
      <w:pPr>
        <w:jc w:val="both"/>
        <w:rPr>
          <w:rFonts w:ascii="Cambria" w:hAnsi="Cambria"/>
          <w:sz w:val="24"/>
          <w:szCs w:val="24"/>
        </w:rPr>
      </w:pPr>
      <w:r w:rsidRPr="005E6D12">
        <w:rPr>
          <w:rFonts w:ascii="Cambria" w:hAnsi="Cambria"/>
          <w:sz w:val="24"/>
          <w:szCs w:val="24"/>
        </w:rPr>
        <w:t xml:space="preserve">Depuis des millénaires, les sociétés humaines ont développé des pratiques agricoles fondées sur l’observation, l’expérience et la transmission de savoirs empiriques. Souvent adaptées aux conditions locales, elles permettaient d’assurer une continuité dans la production alimentaire </w:t>
      </w:r>
      <w:r w:rsidRPr="00B868BC">
        <w:rPr>
          <w:rFonts w:ascii="Cambria" w:hAnsi="Cambria"/>
          <w:b/>
          <w:bCs/>
          <w:sz w:val="24"/>
          <w:szCs w:val="24"/>
        </w:rPr>
        <w:t>tout en respectant un équilibre fragile entre l’homme et son environnement</w:t>
      </w:r>
      <w:r w:rsidRPr="005E6D12">
        <w:rPr>
          <w:rFonts w:ascii="Cambria" w:hAnsi="Cambria"/>
          <w:sz w:val="24"/>
          <w:szCs w:val="24"/>
        </w:rPr>
        <w:t xml:space="preserve">. Ces agricultures traditionnelles reposaient sur des savoirs affinés au fil des siècles : observation des plantes et des sols, rotation des cultures, sélection des semences, intégration de l’élevage et des cultures, travail du sol. Véritable patrimoine collectif, ces pratiques assuraient une forme d’équilibre entre les sociétés humaines et leur milieu (Mazoyer &amp; </w:t>
      </w:r>
      <w:proofErr w:type="spellStart"/>
      <w:r w:rsidRPr="005E6D12">
        <w:rPr>
          <w:rFonts w:ascii="Cambria" w:hAnsi="Cambria"/>
          <w:sz w:val="24"/>
          <w:szCs w:val="24"/>
        </w:rPr>
        <w:t>Roudart</w:t>
      </w:r>
      <w:proofErr w:type="spellEnd"/>
      <w:r w:rsidRPr="005E6D12">
        <w:rPr>
          <w:rFonts w:ascii="Cambria" w:hAnsi="Cambria"/>
          <w:sz w:val="24"/>
          <w:szCs w:val="24"/>
        </w:rPr>
        <w:t>, 2002).</w:t>
      </w:r>
      <w:r w:rsidR="001E6272">
        <w:rPr>
          <w:rFonts w:ascii="Cambria" w:hAnsi="Cambria"/>
          <w:sz w:val="24"/>
          <w:szCs w:val="24"/>
        </w:rPr>
        <w:t xml:space="preserve"> P</w:t>
      </w:r>
      <w:r w:rsidR="001E6272" w:rsidRPr="001E6272">
        <w:rPr>
          <w:rFonts w:ascii="Cambria" w:hAnsi="Cambria"/>
          <w:sz w:val="24"/>
          <w:szCs w:val="24"/>
        </w:rPr>
        <w:t xml:space="preserve">endant des siècles, les paysans ont dû composer avec les </w:t>
      </w:r>
      <w:r w:rsidR="008B70CB">
        <w:rPr>
          <w:rFonts w:ascii="Cambria" w:hAnsi="Cambria"/>
          <w:sz w:val="24"/>
          <w:szCs w:val="24"/>
        </w:rPr>
        <w:t xml:space="preserve">aléas </w:t>
      </w:r>
      <w:r w:rsidR="008B70CB" w:rsidRPr="001E6272">
        <w:rPr>
          <w:rFonts w:ascii="Cambria" w:hAnsi="Cambria"/>
          <w:sz w:val="24"/>
          <w:szCs w:val="24"/>
        </w:rPr>
        <w:t>naturels (sécheresses, gels, invasions de ravageurs, épidémies)</w:t>
      </w:r>
      <w:r w:rsidR="008B70CB">
        <w:rPr>
          <w:rFonts w:ascii="Cambria" w:hAnsi="Cambria"/>
          <w:sz w:val="24"/>
          <w:szCs w:val="24"/>
        </w:rPr>
        <w:t xml:space="preserve"> en adaptant leurs pratiques. C</w:t>
      </w:r>
      <w:r w:rsidR="001E6272" w:rsidRPr="001E6272">
        <w:rPr>
          <w:rFonts w:ascii="Cambria" w:hAnsi="Cambria"/>
          <w:sz w:val="24"/>
          <w:szCs w:val="24"/>
        </w:rPr>
        <w:t>es phénomènes parfois dramatiques</w:t>
      </w:r>
      <w:r w:rsidR="001E6272">
        <w:rPr>
          <w:rFonts w:ascii="Cambria" w:hAnsi="Cambria"/>
          <w:sz w:val="24"/>
          <w:szCs w:val="24"/>
        </w:rPr>
        <w:t xml:space="preserve"> </w:t>
      </w:r>
      <w:r w:rsidR="008B70CB" w:rsidRPr="001E6272">
        <w:rPr>
          <w:rFonts w:ascii="Cambria" w:hAnsi="Cambria"/>
          <w:sz w:val="24"/>
          <w:szCs w:val="24"/>
        </w:rPr>
        <w:t>relevaient de l’imprévisible naturel et étaient interprétés comme une fatalité</w:t>
      </w:r>
      <w:r w:rsidR="008B70CB">
        <w:rPr>
          <w:rFonts w:ascii="Cambria" w:hAnsi="Cambria"/>
          <w:sz w:val="24"/>
          <w:szCs w:val="24"/>
        </w:rPr>
        <w:t xml:space="preserve"> </w:t>
      </w:r>
      <w:r w:rsidR="001E6272">
        <w:rPr>
          <w:rFonts w:ascii="Cambria" w:hAnsi="Cambria"/>
          <w:sz w:val="24"/>
          <w:szCs w:val="24"/>
        </w:rPr>
        <w:t xml:space="preserve">(tels que les ravages du mildiou de la pomme de terre </w:t>
      </w:r>
      <w:r w:rsidR="008B70CB">
        <w:rPr>
          <w:rFonts w:ascii="Cambria" w:hAnsi="Cambria"/>
          <w:sz w:val="24"/>
          <w:szCs w:val="24"/>
        </w:rPr>
        <w:t>de</w:t>
      </w:r>
      <w:r w:rsidR="001E6272">
        <w:rPr>
          <w:rFonts w:ascii="Cambria" w:hAnsi="Cambria"/>
          <w:sz w:val="24"/>
          <w:szCs w:val="24"/>
        </w:rPr>
        <w:t xml:space="preserve"> 184</w:t>
      </w:r>
      <w:r w:rsidR="008B70CB">
        <w:rPr>
          <w:rFonts w:ascii="Cambria" w:hAnsi="Cambria"/>
          <w:sz w:val="24"/>
          <w:szCs w:val="24"/>
        </w:rPr>
        <w:t>5 à 1849</w:t>
      </w:r>
      <w:r w:rsidR="001E6272">
        <w:rPr>
          <w:rFonts w:ascii="Cambria" w:hAnsi="Cambria"/>
          <w:sz w:val="24"/>
          <w:szCs w:val="24"/>
        </w:rPr>
        <w:t xml:space="preserve"> </w:t>
      </w:r>
      <w:r w:rsidR="0056292F">
        <w:rPr>
          <w:rFonts w:ascii="Cambria" w:hAnsi="Cambria"/>
          <w:sz w:val="24"/>
          <w:szCs w:val="24"/>
        </w:rPr>
        <w:t>força</w:t>
      </w:r>
      <w:r w:rsidR="001E6272">
        <w:rPr>
          <w:rFonts w:ascii="Cambria" w:hAnsi="Cambria"/>
          <w:sz w:val="24"/>
          <w:szCs w:val="24"/>
        </w:rPr>
        <w:t xml:space="preserve">nt </w:t>
      </w:r>
      <w:r w:rsidR="0056292F">
        <w:rPr>
          <w:rFonts w:ascii="Cambria" w:hAnsi="Cambria"/>
          <w:sz w:val="24"/>
          <w:szCs w:val="24"/>
        </w:rPr>
        <w:t>nombre de</w:t>
      </w:r>
      <w:r w:rsidR="001E6272">
        <w:rPr>
          <w:rFonts w:ascii="Cambria" w:hAnsi="Cambria"/>
          <w:sz w:val="24"/>
          <w:szCs w:val="24"/>
        </w:rPr>
        <w:t xml:space="preserve"> paysans irlandais à l’exil)</w:t>
      </w:r>
      <w:r w:rsidR="001E6272" w:rsidRPr="001E6272">
        <w:rPr>
          <w:rFonts w:ascii="Cambria" w:hAnsi="Cambria"/>
          <w:sz w:val="24"/>
          <w:szCs w:val="24"/>
        </w:rPr>
        <w:t>. L’équilibre avec les écosystèmes, maintenu par l’expérience accumulée et les pratiques traditionnelles, limitait</w:t>
      </w:r>
      <w:r w:rsidR="001E6272">
        <w:rPr>
          <w:rFonts w:ascii="Cambria" w:hAnsi="Cambria"/>
          <w:sz w:val="24"/>
          <w:szCs w:val="24"/>
        </w:rPr>
        <w:t xml:space="preserve"> le plus souvent</w:t>
      </w:r>
      <w:r w:rsidR="001E6272" w:rsidRPr="001E6272">
        <w:rPr>
          <w:rFonts w:ascii="Cambria" w:hAnsi="Cambria"/>
          <w:sz w:val="24"/>
          <w:szCs w:val="24"/>
        </w:rPr>
        <w:t xml:space="preserve"> l’ampleur des perturbations générées par l’homme</w:t>
      </w:r>
      <w:r w:rsidR="008B70CB">
        <w:rPr>
          <w:rFonts w:ascii="Cambria" w:hAnsi="Cambria"/>
          <w:sz w:val="24"/>
          <w:szCs w:val="24"/>
        </w:rPr>
        <w:t>.</w:t>
      </w:r>
    </w:p>
    <w:p w14:paraId="5360CFB4" w14:textId="77777777" w:rsidR="005E6D12" w:rsidRDefault="005E6D12" w:rsidP="005E6D12">
      <w:pPr>
        <w:jc w:val="both"/>
        <w:rPr>
          <w:rFonts w:ascii="Cambria" w:hAnsi="Cambria"/>
          <w:sz w:val="24"/>
          <w:szCs w:val="24"/>
        </w:rPr>
      </w:pPr>
    </w:p>
    <w:p w14:paraId="4436BCE9" w14:textId="56CACBD4" w:rsidR="005E6D12" w:rsidRPr="005E6D12" w:rsidRDefault="005E6D12" w:rsidP="005E6D12">
      <w:pPr>
        <w:jc w:val="both"/>
        <w:rPr>
          <w:rFonts w:ascii="Cambria" w:hAnsi="Cambria"/>
          <w:sz w:val="24"/>
          <w:szCs w:val="24"/>
        </w:rPr>
      </w:pPr>
      <w:r w:rsidRPr="005E6D12">
        <w:rPr>
          <w:rFonts w:ascii="Cambria" w:hAnsi="Cambria"/>
          <w:sz w:val="24"/>
          <w:szCs w:val="24"/>
        </w:rPr>
        <w:t xml:space="preserve">À partir du milieu du XXᵉ siècle, l’équilibre fragile des agricultures traditionnelles a été profondément </w:t>
      </w:r>
      <w:r w:rsidRPr="00176ADE">
        <w:rPr>
          <w:rFonts w:ascii="Cambria" w:hAnsi="Cambria"/>
          <w:b/>
          <w:bCs/>
          <w:sz w:val="24"/>
          <w:szCs w:val="24"/>
        </w:rPr>
        <w:t>bouleversé par l’avènement d’une agriculture industrielle et intensive</w:t>
      </w:r>
      <w:r w:rsidRPr="005E6D12">
        <w:rPr>
          <w:rFonts w:ascii="Cambria" w:hAnsi="Cambria"/>
          <w:sz w:val="24"/>
          <w:szCs w:val="24"/>
        </w:rPr>
        <w:t>, héritière de la « Révolution verte ». Fortement promue par les institutions internationales</w:t>
      </w:r>
      <w:r>
        <w:rPr>
          <w:rFonts w:ascii="Cambria" w:hAnsi="Cambria"/>
          <w:sz w:val="24"/>
          <w:szCs w:val="24"/>
        </w:rPr>
        <w:t xml:space="preserve"> (telle que la FAO, le FMI ou la Banque Mondiale)</w:t>
      </w:r>
      <w:r w:rsidRPr="005E6D12">
        <w:rPr>
          <w:rFonts w:ascii="Cambria" w:hAnsi="Cambria"/>
          <w:sz w:val="24"/>
          <w:szCs w:val="24"/>
        </w:rPr>
        <w:t xml:space="preserve">, les gouvernements et les industries de l’agrochimie, cette transformation s’est traduite par la mécanisation lourde, la généralisation de l’usage des engrais chimiques, des pesticides de synthèse et des semences hybrides (Gras, 2012). </w:t>
      </w:r>
      <w:r w:rsidR="001E6272">
        <w:rPr>
          <w:rFonts w:ascii="Cambria" w:hAnsi="Cambria"/>
          <w:sz w:val="24"/>
          <w:szCs w:val="24"/>
        </w:rPr>
        <w:t>En Europe, c</w:t>
      </w:r>
      <w:r>
        <w:rPr>
          <w:rFonts w:ascii="Cambria" w:hAnsi="Cambria"/>
          <w:sz w:val="24"/>
          <w:szCs w:val="24"/>
        </w:rPr>
        <w:t>ette agriculture « industrielle »</w:t>
      </w:r>
      <w:r w:rsidR="001E6272">
        <w:rPr>
          <w:rFonts w:ascii="Cambria" w:hAnsi="Cambria"/>
          <w:sz w:val="24"/>
          <w:szCs w:val="24"/>
        </w:rPr>
        <w:t xml:space="preserve"> </w:t>
      </w:r>
      <w:r>
        <w:rPr>
          <w:rFonts w:ascii="Cambria" w:hAnsi="Cambria"/>
          <w:sz w:val="24"/>
          <w:szCs w:val="24"/>
        </w:rPr>
        <w:t>jugée moderne,</w:t>
      </w:r>
      <w:r w:rsidRPr="005E6D12">
        <w:rPr>
          <w:rFonts w:ascii="Cambria" w:hAnsi="Cambria"/>
          <w:sz w:val="24"/>
          <w:szCs w:val="24"/>
        </w:rPr>
        <w:t xml:space="preserve"> a </w:t>
      </w:r>
      <w:r w:rsidR="001E6272">
        <w:rPr>
          <w:rFonts w:ascii="Cambria" w:hAnsi="Cambria"/>
          <w:sz w:val="24"/>
          <w:szCs w:val="24"/>
        </w:rPr>
        <w:t xml:space="preserve">été portée par la PAC (Politique Agricole Commune). Elle a </w:t>
      </w:r>
      <w:r>
        <w:rPr>
          <w:rFonts w:ascii="Cambria" w:hAnsi="Cambria"/>
          <w:sz w:val="24"/>
          <w:szCs w:val="24"/>
        </w:rPr>
        <w:t xml:space="preserve">certes </w:t>
      </w:r>
      <w:r w:rsidRPr="005E6D12">
        <w:rPr>
          <w:rFonts w:ascii="Cambria" w:hAnsi="Cambria"/>
          <w:sz w:val="24"/>
          <w:szCs w:val="24"/>
        </w:rPr>
        <w:t xml:space="preserve">permis </w:t>
      </w:r>
      <w:r w:rsidR="001E6272">
        <w:rPr>
          <w:rFonts w:ascii="Cambria" w:hAnsi="Cambria"/>
          <w:sz w:val="24"/>
          <w:szCs w:val="24"/>
        </w:rPr>
        <w:t>d’augmenter de façon</w:t>
      </w:r>
      <w:r w:rsidRPr="005E6D12">
        <w:rPr>
          <w:rFonts w:ascii="Cambria" w:hAnsi="Cambria"/>
          <w:sz w:val="24"/>
          <w:szCs w:val="24"/>
        </w:rPr>
        <w:t xml:space="preserve"> </w:t>
      </w:r>
      <w:r>
        <w:rPr>
          <w:rFonts w:ascii="Cambria" w:hAnsi="Cambria"/>
          <w:sz w:val="24"/>
          <w:szCs w:val="24"/>
        </w:rPr>
        <w:t xml:space="preserve">souvent </w:t>
      </w:r>
      <w:r w:rsidRPr="005E6D12">
        <w:rPr>
          <w:rFonts w:ascii="Cambria" w:hAnsi="Cambria"/>
          <w:sz w:val="24"/>
          <w:szCs w:val="24"/>
        </w:rPr>
        <w:t xml:space="preserve">spectaculaire </w:t>
      </w:r>
      <w:r w:rsidR="008B70CB">
        <w:rPr>
          <w:rFonts w:ascii="Cambria" w:hAnsi="Cambria"/>
          <w:sz w:val="24"/>
          <w:szCs w:val="24"/>
        </w:rPr>
        <w:t>l</w:t>
      </w:r>
      <w:r w:rsidRPr="005E6D12">
        <w:rPr>
          <w:rFonts w:ascii="Cambria" w:hAnsi="Cambria"/>
          <w:sz w:val="24"/>
          <w:szCs w:val="24"/>
        </w:rPr>
        <w:t xml:space="preserve">es rendements, de soulager les paysans des </w:t>
      </w:r>
      <w:r w:rsidRPr="005E6D12">
        <w:rPr>
          <w:rFonts w:ascii="Cambria" w:hAnsi="Cambria"/>
          <w:sz w:val="24"/>
          <w:szCs w:val="24"/>
        </w:rPr>
        <w:lastRenderedPageBreak/>
        <w:t>travaux les plus pénibles</w:t>
      </w:r>
      <w:r>
        <w:rPr>
          <w:rFonts w:ascii="Cambria" w:hAnsi="Cambria"/>
          <w:sz w:val="24"/>
          <w:szCs w:val="24"/>
        </w:rPr>
        <w:t xml:space="preserve"> (comme le désherbage manuel)</w:t>
      </w:r>
      <w:r w:rsidRPr="005E6D12">
        <w:rPr>
          <w:rFonts w:ascii="Cambria" w:hAnsi="Cambria"/>
          <w:sz w:val="24"/>
          <w:szCs w:val="24"/>
        </w:rPr>
        <w:t xml:space="preserve"> et de libérer de la main-d’œuvre agricole</w:t>
      </w:r>
      <w:r>
        <w:rPr>
          <w:rFonts w:ascii="Cambria" w:hAnsi="Cambria"/>
          <w:sz w:val="24"/>
          <w:szCs w:val="24"/>
        </w:rPr>
        <w:t xml:space="preserve"> pour les secteurs industriels et tertiaires en pleine expansion</w:t>
      </w:r>
      <w:r w:rsidR="008B70CB">
        <w:rPr>
          <w:rFonts w:ascii="Cambria" w:hAnsi="Cambria"/>
          <w:sz w:val="24"/>
          <w:szCs w:val="24"/>
        </w:rPr>
        <w:t>.</w:t>
      </w:r>
      <w:r w:rsidRPr="005E6D12">
        <w:rPr>
          <w:rFonts w:ascii="Cambria" w:hAnsi="Cambria"/>
          <w:sz w:val="24"/>
          <w:szCs w:val="24"/>
        </w:rPr>
        <w:t xml:space="preserve"> </w:t>
      </w:r>
      <w:r w:rsidR="008B70CB">
        <w:rPr>
          <w:rFonts w:ascii="Cambria" w:hAnsi="Cambria"/>
          <w:sz w:val="24"/>
          <w:szCs w:val="24"/>
        </w:rPr>
        <w:t>M</w:t>
      </w:r>
      <w:r w:rsidRPr="005E6D12">
        <w:rPr>
          <w:rFonts w:ascii="Cambria" w:hAnsi="Cambria"/>
          <w:sz w:val="24"/>
          <w:szCs w:val="24"/>
        </w:rPr>
        <w:t xml:space="preserve">ais </w:t>
      </w:r>
      <w:r w:rsidR="008B70CB">
        <w:rPr>
          <w:rFonts w:ascii="Cambria" w:hAnsi="Cambria"/>
          <w:sz w:val="24"/>
          <w:szCs w:val="24"/>
        </w:rPr>
        <w:t xml:space="preserve">cela </w:t>
      </w:r>
      <w:r w:rsidRPr="00176ADE">
        <w:rPr>
          <w:rFonts w:ascii="Cambria" w:hAnsi="Cambria"/>
          <w:b/>
          <w:bCs/>
          <w:sz w:val="24"/>
          <w:szCs w:val="24"/>
        </w:rPr>
        <w:t xml:space="preserve">au prix d’une rupture profonde </w:t>
      </w:r>
      <w:r w:rsidRPr="005E6D12">
        <w:rPr>
          <w:rFonts w:ascii="Cambria" w:hAnsi="Cambria"/>
          <w:sz w:val="24"/>
          <w:szCs w:val="24"/>
        </w:rPr>
        <w:t>avec les savoirs</w:t>
      </w:r>
      <w:r>
        <w:rPr>
          <w:rFonts w:ascii="Cambria" w:hAnsi="Cambria"/>
          <w:sz w:val="24"/>
          <w:szCs w:val="24"/>
        </w:rPr>
        <w:t xml:space="preserve"> traditionnels</w:t>
      </w:r>
      <w:r w:rsidR="00176ADE">
        <w:rPr>
          <w:rFonts w:ascii="Cambria" w:hAnsi="Cambria"/>
          <w:sz w:val="24"/>
          <w:szCs w:val="24"/>
        </w:rPr>
        <w:t xml:space="preserve"> </w:t>
      </w:r>
      <w:r w:rsidR="008B70CB">
        <w:rPr>
          <w:rFonts w:ascii="Cambria" w:hAnsi="Cambria"/>
          <w:sz w:val="24"/>
          <w:szCs w:val="24"/>
        </w:rPr>
        <w:t xml:space="preserve">soudain </w:t>
      </w:r>
      <w:r w:rsidR="00176ADE">
        <w:rPr>
          <w:rFonts w:ascii="Cambria" w:hAnsi="Cambria"/>
          <w:sz w:val="24"/>
          <w:szCs w:val="24"/>
        </w:rPr>
        <w:t>déconsidérés</w:t>
      </w:r>
      <w:r>
        <w:rPr>
          <w:rFonts w:ascii="Cambria" w:hAnsi="Cambria"/>
          <w:sz w:val="24"/>
          <w:szCs w:val="24"/>
        </w:rPr>
        <w:t xml:space="preserve"> et les modes de vie</w:t>
      </w:r>
      <w:r w:rsidRPr="005E6D12">
        <w:rPr>
          <w:rFonts w:ascii="Cambria" w:hAnsi="Cambria"/>
          <w:sz w:val="24"/>
          <w:szCs w:val="24"/>
        </w:rPr>
        <w:t xml:space="preserve"> ancestraux</w:t>
      </w:r>
      <w:r w:rsidR="00176ADE">
        <w:rPr>
          <w:rFonts w:ascii="Cambria" w:hAnsi="Cambria"/>
          <w:sz w:val="24"/>
          <w:szCs w:val="24"/>
        </w:rPr>
        <w:t>,</w:t>
      </w:r>
      <w:r w:rsidRPr="005E6D12">
        <w:rPr>
          <w:rFonts w:ascii="Cambria" w:hAnsi="Cambria"/>
          <w:sz w:val="24"/>
          <w:szCs w:val="24"/>
        </w:rPr>
        <w:t xml:space="preserve"> et d’une </w:t>
      </w:r>
      <w:r w:rsidRPr="00B868BC">
        <w:rPr>
          <w:rFonts w:ascii="Cambria" w:hAnsi="Cambria"/>
          <w:b/>
          <w:bCs/>
          <w:sz w:val="24"/>
          <w:szCs w:val="24"/>
        </w:rPr>
        <w:t>dépendance croissante</w:t>
      </w:r>
      <w:r>
        <w:rPr>
          <w:rFonts w:ascii="Cambria" w:hAnsi="Cambria"/>
          <w:sz w:val="24"/>
          <w:szCs w:val="24"/>
        </w:rPr>
        <w:t xml:space="preserve"> des paysans</w:t>
      </w:r>
      <w:r w:rsidRPr="005E6D12">
        <w:rPr>
          <w:rFonts w:ascii="Cambria" w:hAnsi="Cambria"/>
          <w:sz w:val="24"/>
          <w:szCs w:val="24"/>
        </w:rPr>
        <w:t xml:space="preserve"> aux intrants industriels.</w:t>
      </w:r>
    </w:p>
    <w:p w14:paraId="02FA14AF" w14:textId="77777777" w:rsidR="005E6D12" w:rsidRPr="005E6D12" w:rsidRDefault="005E6D12" w:rsidP="005E6D12">
      <w:pPr>
        <w:jc w:val="both"/>
        <w:rPr>
          <w:rFonts w:ascii="Cambria" w:hAnsi="Cambria"/>
          <w:sz w:val="24"/>
          <w:szCs w:val="24"/>
        </w:rPr>
      </w:pPr>
    </w:p>
    <w:p w14:paraId="2D426A87" w14:textId="5F55D1AE" w:rsidR="00B54758" w:rsidRDefault="00F33857" w:rsidP="005E6D12">
      <w:pPr>
        <w:jc w:val="both"/>
        <w:rPr>
          <w:rFonts w:ascii="Cambria" w:hAnsi="Cambria"/>
          <w:sz w:val="24"/>
          <w:szCs w:val="24"/>
        </w:rPr>
      </w:pPr>
      <w:r w:rsidRPr="00F33857">
        <w:rPr>
          <w:rFonts w:ascii="Cambria" w:hAnsi="Cambria"/>
          <w:sz w:val="24"/>
          <w:szCs w:val="24"/>
        </w:rPr>
        <w:t>Les conséquences négatives de cette évolution sont rapidement apparues.</w:t>
      </w:r>
      <w:r>
        <w:rPr>
          <w:rFonts w:ascii="Cambria" w:hAnsi="Cambria"/>
          <w:sz w:val="24"/>
          <w:szCs w:val="24"/>
        </w:rPr>
        <w:t xml:space="preserve"> En témoigne le cri d’alarme poussé dès 1962 par Rachel Carson dans son livre </w:t>
      </w:r>
      <w:r w:rsidR="00111D38">
        <w:rPr>
          <w:rFonts w:ascii="Cambria" w:hAnsi="Cambria"/>
          <w:i/>
          <w:iCs/>
          <w:sz w:val="24"/>
          <w:szCs w:val="24"/>
        </w:rPr>
        <w:t>P</w:t>
      </w:r>
      <w:r w:rsidRPr="00F33857">
        <w:rPr>
          <w:rFonts w:ascii="Cambria" w:hAnsi="Cambria"/>
          <w:i/>
          <w:iCs/>
          <w:sz w:val="24"/>
          <w:szCs w:val="24"/>
        </w:rPr>
        <w:t>rintemps silencieux</w:t>
      </w:r>
      <w:r>
        <w:rPr>
          <w:rFonts w:ascii="Cambria" w:hAnsi="Cambria"/>
          <w:sz w:val="24"/>
          <w:szCs w:val="24"/>
        </w:rPr>
        <w:t xml:space="preserve"> (</w:t>
      </w:r>
      <w:r w:rsidRPr="00F33857">
        <w:rPr>
          <w:rFonts w:ascii="Cambria" w:hAnsi="Cambria"/>
          <w:i/>
          <w:iCs/>
          <w:sz w:val="24"/>
          <w:szCs w:val="24"/>
        </w:rPr>
        <w:t>Silent Spring</w:t>
      </w:r>
      <w:r>
        <w:rPr>
          <w:rFonts w:ascii="Cambria" w:hAnsi="Cambria"/>
          <w:sz w:val="24"/>
          <w:szCs w:val="24"/>
        </w:rPr>
        <w:t>)</w:t>
      </w:r>
      <w:r w:rsidR="009C7495">
        <w:rPr>
          <w:rFonts w:ascii="Cambria" w:hAnsi="Cambria"/>
          <w:sz w:val="24"/>
          <w:szCs w:val="24"/>
        </w:rPr>
        <w:t xml:space="preserve"> observant les effets délétères du DDT</w:t>
      </w:r>
      <w:r w:rsidR="009C7495">
        <w:rPr>
          <w:rStyle w:val="Appelnotedebasdep"/>
          <w:rFonts w:ascii="Cambria" w:hAnsi="Cambria"/>
          <w:sz w:val="24"/>
          <w:szCs w:val="24"/>
        </w:rPr>
        <w:footnoteReference w:id="1"/>
      </w:r>
      <w:r>
        <w:rPr>
          <w:rFonts w:ascii="Cambria" w:hAnsi="Cambria"/>
          <w:sz w:val="24"/>
          <w:szCs w:val="24"/>
        </w:rPr>
        <w:t>.</w:t>
      </w:r>
      <w:r w:rsidRPr="00F33857">
        <w:rPr>
          <w:rFonts w:ascii="Cambria" w:hAnsi="Cambria"/>
          <w:sz w:val="24"/>
          <w:szCs w:val="24"/>
        </w:rPr>
        <w:t xml:space="preserve"> </w:t>
      </w:r>
      <w:r>
        <w:rPr>
          <w:rFonts w:ascii="Cambria" w:hAnsi="Cambria"/>
          <w:sz w:val="24"/>
          <w:szCs w:val="24"/>
        </w:rPr>
        <w:t>Néanmoins, e</w:t>
      </w:r>
      <w:r w:rsidRPr="00F33857">
        <w:rPr>
          <w:rFonts w:ascii="Cambria" w:hAnsi="Cambria"/>
          <w:sz w:val="24"/>
          <w:szCs w:val="24"/>
        </w:rPr>
        <w:t xml:space="preserve">lles </w:t>
      </w:r>
      <w:r w:rsidR="0056292F" w:rsidRPr="00F33857">
        <w:rPr>
          <w:rFonts w:ascii="Cambria" w:hAnsi="Cambria"/>
          <w:sz w:val="24"/>
          <w:szCs w:val="24"/>
        </w:rPr>
        <w:t>sont</w:t>
      </w:r>
      <w:r w:rsidRPr="00F33857">
        <w:rPr>
          <w:rFonts w:ascii="Cambria" w:hAnsi="Cambria"/>
          <w:sz w:val="24"/>
          <w:szCs w:val="24"/>
        </w:rPr>
        <w:t xml:space="preserve"> </w:t>
      </w:r>
      <w:r w:rsidR="008B70CB">
        <w:rPr>
          <w:rFonts w:ascii="Cambria" w:hAnsi="Cambria"/>
          <w:sz w:val="24"/>
          <w:szCs w:val="24"/>
        </w:rPr>
        <w:t>restées</w:t>
      </w:r>
      <w:r>
        <w:rPr>
          <w:rFonts w:ascii="Cambria" w:hAnsi="Cambria"/>
          <w:sz w:val="24"/>
          <w:szCs w:val="24"/>
        </w:rPr>
        <w:t xml:space="preserve"> longtemps</w:t>
      </w:r>
      <w:r w:rsidRPr="00F33857">
        <w:rPr>
          <w:rFonts w:ascii="Cambria" w:hAnsi="Cambria"/>
          <w:sz w:val="24"/>
          <w:szCs w:val="24"/>
        </w:rPr>
        <w:t xml:space="preserve"> sous-estimées, et parfois même </w:t>
      </w:r>
      <w:r>
        <w:rPr>
          <w:rFonts w:ascii="Cambria" w:hAnsi="Cambria"/>
          <w:sz w:val="24"/>
          <w:szCs w:val="24"/>
        </w:rPr>
        <w:t xml:space="preserve">délibérément </w:t>
      </w:r>
      <w:r w:rsidRPr="00F33857">
        <w:rPr>
          <w:rFonts w:ascii="Cambria" w:hAnsi="Cambria"/>
          <w:sz w:val="24"/>
          <w:szCs w:val="24"/>
        </w:rPr>
        <w:t>ignorées</w:t>
      </w:r>
      <w:r w:rsidR="001E6272">
        <w:rPr>
          <w:rFonts w:ascii="Cambria" w:hAnsi="Cambria"/>
          <w:sz w:val="24"/>
          <w:szCs w:val="24"/>
        </w:rPr>
        <w:t>,</w:t>
      </w:r>
      <w:r w:rsidRPr="00F33857">
        <w:rPr>
          <w:rFonts w:ascii="Cambria" w:hAnsi="Cambria"/>
          <w:sz w:val="24"/>
          <w:szCs w:val="24"/>
        </w:rPr>
        <w:t xml:space="preserve"> par les responsables politiques</w:t>
      </w:r>
      <w:r>
        <w:rPr>
          <w:rFonts w:ascii="Cambria" w:hAnsi="Cambria"/>
          <w:sz w:val="24"/>
          <w:szCs w:val="24"/>
        </w:rPr>
        <w:t xml:space="preserve"> …</w:t>
      </w:r>
      <w:r w:rsidRPr="00F33857">
        <w:rPr>
          <w:rFonts w:ascii="Cambria" w:hAnsi="Cambria"/>
          <w:sz w:val="24"/>
          <w:szCs w:val="24"/>
        </w:rPr>
        <w:t xml:space="preserve"> comme par la</w:t>
      </w:r>
      <w:r>
        <w:rPr>
          <w:rFonts w:ascii="Cambria" w:hAnsi="Cambria"/>
          <w:sz w:val="24"/>
          <w:szCs w:val="24"/>
        </w:rPr>
        <w:t xml:space="preserve"> majorité de la</w:t>
      </w:r>
      <w:r w:rsidRPr="00F33857">
        <w:rPr>
          <w:rFonts w:ascii="Cambria" w:hAnsi="Cambria"/>
          <w:sz w:val="24"/>
          <w:szCs w:val="24"/>
        </w:rPr>
        <w:t xml:space="preserve"> communauté scientifique. Ce n’est qu’à partir des années </w:t>
      </w:r>
      <w:r>
        <w:rPr>
          <w:rFonts w:ascii="Cambria" w:hAnsi="Cambria"/>
          <w:sz w:val="24"/>
          <w:szCs w:val="24"/>
        </w:rPr>
        <w:t>2000</w:t>
      </w:r>
      <w:r w:rsidRPr="00F33857">
        <w:rPr>
          <w:rFonts w:ascii="Cambria" w:hAnsi="Cambria"/>
          <w:sz w:val="24"/>
          <w:szCs w:val="24"/>
        </w:rPr>
        <w:t xml:space="preserve"> </w:t>
      </w:r>
      <w:r>
        <w:rPr>
          <w:rFonts w:ascii="Cambria" w:hAnsi="Cambria"/>
          <w:sz w:val="24"/>
          <w:szCs w:val="24"/>
        </w:rPr>
        <w:t>que les</w:t>
      </w:r>
      <w:r w:rsidRPr="00F33857">
        <w:rPr>
          <w:rFonts w:ascii="Cambria" w:hAnsi="Cambria"/>
          <w:sz w:val="24"/>
          <w:szCs w:val="24"/>
        </w:rPr>
        <w:t xml:space="preserve"> études</w:t>
      </w:r>
      <w:r>
        <w:rPr>
          <w:rFonts w:ascii="Cambria" w:hAnsi="Cambria"/>
          <w:sz w:val="24"/>
          <w:szCs w:val="24"/>
        </w:rPr>
        <w:t xml:space="preserve"> </w:t>
      </w:r>
      <w:r w:rsidR="00AF279A">
        <w:rPr>
          <w:rFonts w:ascii="Cambria" w:hAnsi="Cambria"/>
          <w:sz w:val="24"/>
          <w:szCs w:val="24"/>
        </w:rPr>
        <w:t>sur les effets sanitaires et environnementaux des produits chimiques</w:t>
      </w:r>
      <w:r w:rsidR="00AF279A" w:rsidRPr="00F33857">
        <w:rPr>
          <w:rFonts w:ascii="Cambria" w:hAnsi="Cambria"/>
          <w:sz w:val="24"/>
          <w:szCs w:val="24"/>
        </w:rPr>
        <w:t xml:space="preserve"> </w:t>
      </w:r>
      <w:r>
        <w:rPr>
          <w:rFonts w:ascii="Cambria" w:hAnsi="Cambria"/>
          <w:sz w:val="24"/>
          <w:szCs w:val="24"/>
        </w:rPr>
        <w:t>se sont multipliées</w:t>
      </w:r>
      <w:r w:rsidR="00AF279A">
        <w:rPr>
          <w:rFonts w:ascii="Cambria" w:hAnsi="Cambria"/>
          <w:sz w:val="24"/>
          <w:szCs w:val="24"/>
        </w:rPr>
        <w:t>.</w:t>
      </w:r>
      <w:r>
        <w:rPr>
          <w:rFonts w:ascii="Cambria" w:hAnsi="Cambria"/>
          <w:sz w:val="24"/>
          <w:szCs w:val="24"/>
        </w:rPr>
        <w:t xml:space="preserve"> </w:t>
      </w:r>
      <w:r w:rsidR="00AF279A">
        <w:rPr>
          <w:rFonts w:ascii="Cambria" w:hAnsi="Cambria"/>
          <w:sz w:val="24"/>
          <w:szCs w:val="24"/>
        </w:rPr>
        <w:t xml:space="preserve">Elles </w:t>
      </w:r>
      <w:r w:rsidRPr="00F33857">
        <w:rPr>
          <w:rFonts w:ascii="Cambria" w:hAnsi="Cambria"/>
          <w:sz w:val="24"/>
          <w:szCs w:val="24"/>
        </w:rPr>
        <w:t xml:space="preserve">ont </w:t>
      </w:r>
      <w:r>
        <w:rPr>
          <w:rFonts w:ascii="Cambria" w:hAnsi="Cambria"/>
          <w:sz w:val="24"/>
          <w:szCs w:val="24"/>
        </w:rPr>
        <w:t>per</w:t>
      </w:r>
      <w:r w:rsidRPr="00F33857">
        <w:rPr>
          <w:rFonts w:ascii="Cambria" w:hAnsi="Cambria"/>
          <w:sz w:val="24"/>
          <w:szCs w:val="24"/>
        </w:rPr>
        <w:t xml:space="preserve">mis </w:t>
      </w:r>
      <w:r>
        <w:rPr>
          <w:rFonts w:ascii="Cambria" w:hAnsi="Cambria"/>
          <w:sz w:val="24"/>
          <w:szCs w:val="24"/>
        </w:rPr>
        <w:t xml:space="preserve">de documenter </w:t>
      </w:r>
      <w:r w:rsidR="00AF279A">
        <w:rPr>
          <w:rFonts w:ascii="Cambria" w:hAnsi="Cambria"/>
          <w:sz w:val="24"/>
          <w:szCs w:val="24"/>
        </w:rPr>
        <w:t>solidement leurs</w:t>
      </w:r>
      <w:r>
        <w:rPr>
          <w:rFonts w:ascii="Cambria" w:hAnsi="Cambria"/>
          <w:sz w:val="24"/>
          <w:szCs w:val="24"/>
        </w:rPr>
        <w:t xml:space="preserve"> </w:t>
      </w:r>
      <w:r w:rsidR="00AF279A">
        <w:rPr>
          <w:rFonts w:ascii="Cambria" w:hAnsi="Cambria"/>
          <w:sz w:val="24"/>
          <w:szCs w:val="24"/>
        </w:rPr>
        <w:t xml:space="preserve">impacts </w:t>
      </w:r>
      <w:r w:rsidRPr="00F33857">
        <w:rPr>
          <w:rFonts w:ascii="Cambria" w:hAnsi="Cambria"/>
          <w:sz w:val="24"/>
          <w:szCs w:val="24"/>
        </w:rPr>
        <w:t>: atteintes à la santé des agriculteurs exposés aux pesticides (</w:t>
      </w:r>
      <w:proofErr w:type="spellStart"/>
      <w:r w:rsidRPr="00F33857">
        <w:rPr>
          <w:rFonts w:ascii="Cambria" w:hAnsi="Cambria"/>
          <w:sz w:val="24"/>
          <w:szCs w:val="24"/>
        </w:rPr>
        <w:t>Mostafalou</w:t>
      </w:r>
      <w:proofErr w:type="spellEnd"/>
      <w:r w:rsidRPr="00F33857">
        <w:rPr>
          <w:rFonts w:ascii="Cambria" w:hAnsi="Cambria"/>
          <w:sz w:val="24"/>
          <w:szCs w:val="24"/>
        </w:rPr>
        <w:t xml:space="preserve"> &amp; </w:t>
      </w:r>
      <w:proofErr w:type="spellStart"/>
      <w:r w:rsidRPr="00F33857">
        <w:rPr>
          <w:rFonts w:ascii="Cambria" w:hAnsi="Cambria"/>
          <w:sz w:val="24"/>
          <w:szCs w:val="24"/>
        </w:rPr>
        <w:t>Abdollahi</w:t>
      </w:r>
      <w:proofErr w:type="spellEnd"/>
      <w:r w:rsidRPr="00F33857">
        <w:rPr>
          <w:rFonts w:ascii="Cambria" w:hAnsi="Cambria"/>
          <w:sz w:val="24"/>
          <w:szCs w:val="24"/>
        </w:rPr>
        <w:t>, 2013), contamination des populations rurales et urbaines, érosion de la biodiversité, déclin massif des pollinisateurs (</w:t>
      </w:r>
      <w:proofErr w:type="spellStart"/>
      <w:r w:rsidRPr="00F33857">
        <w:rPr>
          <w:rFonts w:ascii="Cambria" w:hAnsi="Cambria"/>
          <w:sz w:val="24"/>
          <w:szCs w:val="24"/>
        </w:rPr>
        <w:t>Hallmann</w:t>
      </w:r>
      <w:proofErr w:type="spellEnd"/>
      <w:r w:rsidRPr="00F33857">
        <w:rPr>
          <w:rFonts w:ascii="Cambria" w:hAnsi="Cambria"/>
          <w:sz w:val="24"/>
          <w:szCs w:val="24"/>
        </w:rPr>
        <w:t xml:space="preserve"> et al., 2017), pollution diffuse des sols</w:t>
      </w:r>
      <w:r>
        <w:rPr>
          <w:rFonts w:ascii="Cambria" w:hAnsi="Cambria"/>
          <w:sz w:val="24"/>
          <w:szCs w:val="24"/>
        </w:rPr>
        <w:t>, contamination des eaux souterraines, eutrophisation</w:t>
      </w:r>
      <w:r w:rsidRPr="00F33857">
        <w:rPr>
          <w:rFonts w:ascii="Cambria" w:hAnsi="Cambria"/>
          <w:sz w:val="24"/>
          <w:szCs w:val="24"/>
        </w:rPr>
        <w:t xml:space="preserve"> des </w:t>
      </w:r>
      <w:r>
        <w:rPr>
          <w:rFonts w:ascii="Cambria" w:hAnsi="Cambria"/>
          <w:sz w:val="24"/>
          <w:szCs w:val="24"/>
        </w:rPr>
        <w:t>lacs</w:t>
      </w:r>
      <w:r w:rsidRPr="00F33857">
        <w:rPr>
          <w:rFonts w:ascii="Cambria" w:hAnsi="Cambria"/>
          <w:sz w:val="24"/>
          <w:szCs w:val="24"/>
        </w:rPr>
        <w:t>, émissions de gaz à effet de serre</w:t>
      </w:r>
      <w:r>
        <w:rPr>
          <w:rFonts w:ascii="Cambria" w:hAnsi="Cambria"/>
          <w:sz w:val="24"/>
          <w:szCs w:val="24"/>
        </w:rPr>
        <w:t>, volatilisation et</w:t>
      </w:r>
      <w:r w:rsidRPr="00F33857">
        <w:rPr>
          <w:rFonts w:ascii="Cambria" w:hAnsi="Cambria"/>
          <w:sz w:val="24"/>
          <w:szCs w:val="24"/>
        </w:rPr>
        <w:t xml:space="preserve"> transport de </w:t>
      </w:r>
      <w:r>
        <w:rPr>
          <w:rFonts w:ascii="Cambria" w:hAnsi="Cambria"/>
          <w:sz w:val="24"/>
          <w:szCs w:val="24"/>
        </w:rPr>
        <w:t>substance</w:t>
      </w:r>
      <w:r w:rsidRPr="00F33857">
        <w:rPr>
          <w:rFonts w:ascii="Cambria" w:hAnsi="Cambria"/>
          <w:sz w:val="24"/>
          <w:szCs w:val="24"/>
        </w:rPr>
        <w:t>s nocives jusqu</w:t>
      </w:r>
      <w:r>
        <w:rPr>
          <w:rFonts w:ascii="Cambria" w:hAnsi="Cambria"/>
          <w:sz w:val="24"/>
          <w:szCs w:val="24"/>
        </w:rPr>
        <w:t>e</w:t>
      </w:r>
      <w:r w:rsidRPr="00F33857">
        <w:rPr>
          <w:rFonts w:ascii="Cambria" w:hAnsi="Cambria"/>
          <w:sz w:val="24"/>
          <w:szCs w:val="24"/>
        </w:rPr>
        <w:t xml:space="preserve"> dans les nuages. </w:t>
      </w:r>
      <w:r w:rsidRPr="00F33857">
        <w:rPr>
          <w:rFonts w:ascii="Cambria" w:hAnsi="Cambria"/>
          <w:b/>
          <w:bCs/>
          <w:sz w:val="24"/>
          <w:szCs w:val="24"/>
        </w:rPr>
        <w:t>Les paysans, quant à eux, ont payé un lourd tribut</w:t>
      </w:r>
      <w:r w:rsidRPr="00F33857">
        <w:rPr>
          <w:rFonts w:ascii="Cambria" w:hAnsi="Cambria"/>
          <w:sz w:val="24"/>
          <w:szCs w:val="24"/>
        </w:rPr>
        <w:t xml:space="preserve"> : perte d’autonomie, endettement, marginalisation sociale et atteintes à leur santé</w:t>
      </w:r>
      <w:r w:rsidR="00AF279A">
        <w:rPr>
          <w:rFonts w:ascii="Cambria" w:hAnsi="Cambria"/>
          <w:sz w:val="24"/>
          <w:szCs w:val="24"/>
        </w:rPr>
        <w:t xml:space="preserve"> </w:t>
      </w:r>
      <w:r w:rsidR="00AF279A" w:rsidRPr="00F33857">
        <w:rPr>
          <w:rFonts w:ascii="Cambria" w:hAnsi="Cambria"/>
          <w:sz w:val="24"/>
          <w:szCs w:val="24"/>
        </w:rPr>
        <w:t>(Bonneuil &amp; Thomas, 2009)</w:t>
      </w:r>
      <w:r w:rsidR="00AF279A">
        <w:rPr>
          <w:rFonts w:ascii="Cambria" w:hAnsi="Cambria"/>
          <w:sz w:val="24"/>
          <w:szCs w:val="24"/>
        </w:rPr>
        <w:t>, mais aussi dégradation de leur outil de travail, de leur patrimoine et de leur image</w:t>
      </w:r>
      <w:r w:rsidRPr="00F33857">
        <w:rPr>
          <w:rFonts w:ascii="Cambria" w:hAnsi="Cambria"/>
          <w:sz w:val="24"/>
          <w:szCs w:val="24"/>
        </w:rPr>
        <w:t>.</w:t>
      </w:r>
    </w:p>
    <w:p w14:paraId="2DC6AD33" w14:textId="77777777" w:rsidR="00F33857" w:rsidRDefault="00F33857" w:rsidP="005E6D12">
      <w:pPr>
        <w:jc w:val="both"/>
        <w:rPr>
          <w:rFonts w:ascii="Cambria" w:hAnsi="Cambria"/>
          <w:sz w:val="24"/>
          <w:szCs w:val="24"/>
        </w:rPr>
      </w:pPr>
    </w:p>
    <w:p w14:paraId="7B1C2DD6" w14:textId="1241F2C5" w:rsidR="00EE608F" w:rsidRDefault="001E6272" w:rsidP="00B54758">
      <w:pPr>
        <w:jc w:val="both"/>
        <w:rPr>
          <w:rFonts w:ascii="Cambria" w:hAnsi="Cambria"/>
          <w:sz w:val="24"/>
          <w:szCs w:val="24"/>
        </w:rPr>
      </w:pPr>
      <w:r>
        <w:rPr>
          <w:rFonts w:ascii="Cambria" w:hAnsi="Cambria"/>
          <w:sz w:val="24"/>
          <w:szCs w:val="24"/>
        </w:rPr>
        <w:t>Ainsi, l</w:t>
      </w:r>
      <w:r w:rsidR="00B54758" w:rsidRPr="00B54758">
        <w:rPr>
          <w:rFonts w:ascii="Cambria" w:hAnsi="Cambria"/>
          <w:sz w:val="24"/>
          <w:szCs w:val="24"/>
        </w:rPr>
        <w:t>e basculement</w:t>
      </w:r>
      <w:r w:rsidR="00170C22">
        <w:rPr>
          <w:rFonts w:ascii="Cambria" w:hAnsi="Cambria"/>
          <w:sz w:val="24"/>
          <w:szCs w:val="24"/>
        </w:rPr>
        <w:t xml:space="preserve"> opéré dans l’après-guerre du fait de l’adoption de nouvelles technologies</w:t>
      </w:r>
      <w:r w:rsidR="00B54758" w:rsidRPr="00B54758">
        <w:rPr>
          <w:rFonts w:ascii="Cambria" w:hAnsi="Cambria"/>
          <w:sz w:val="24"/>
          <w:szCs w:val="24"/>
        </w:rPr>
        <w:t xml:space="preserve"> n’est pas seulement une mutation technique et sociale : </w:t>
      </w:r>
      <w:r w:rsidR="00B54758" w:rsidRPr="00176ADE">
        <w:rPr>
          <w:rFonts w:ascii="Cambria" w:hAnsi="Cambria"/>
          <w:b/>
          <w:bCs/>
          <w:sz w:val="24"/>
          <w:szCs w:val="24"/>
        </w:rPr>
        <w:t xml:space="preserve">il </w:t>
      </w:r>
      <w:r>
        <w:rPr>
          <w:rFonts w:ascii="Cambria" w:hAnsi="Cambria"/>
          <w:b/>
          <w:bCs/>
          <w:sz w:val="24"/>
          <w:szCs w:val="24"/>
        </w:rPr>
        <w:t>inaugur</w:t>
      </w:r>
      <w:r w:rsidR="00B54758" w:rsidRPr="00176ADE">
        <w:rPr>
          <w:rFonts w:ascii="Cambria" w:hAnsi="Cambria"/>
          <w:b/>
          <w:bCs/>
          <w:sz w:val="24"/>
          <w:szCs w:val="24"/>
        </w:rPr>
        <w:t xml:space="preserve">e aussi </w:t>
      </w:r>
      <w:r>
        <w:rPr>
          <w:rFonts w:ascii="Cambria" w:hAnsi="Cambria"/>
          <w:b/>
          <w:bCs/>
          <w:sz w:val="24"/>
          <w:szCs w:val="24"/>
        </w:rPr>
        <w:t>un</w:t>
      </w:r>
      <w:r w:rsidR="00B54758" w:rsidRPr="00176ADE">
        <w:rPr>
          <w:rFonts w:ascii="Cambria" w:hAnsi="Cambria"/>
          <w:b/>
          <w:bCs/>
          <w:sz w:val="24"/>
          <w:szCs w:val="24"/>
        </w:rPr>
        <w:t xml:space="preserve"> nouveau rapport au risque</w:t>
      </w:r>
      <w:r w:rsidR="00B54758" w:rsidRPr="00B54758">
        <w:rPr>
          <w:rFonts w:ascii="Cambria" w:hAnsi="Cambria"/>
          <w:sz w:val="24"/>
          <w:szCs w:val="24"/>
        </w:rPr>
        <w:t xml:space="preserve">. Là où les agricultures traditionnelles </w:t>
      </w:r>
      <w:r w:rsidRPr="001E6272">
        <w:rPr>
          <w:rFonts w:ascii="Cambria" w:hAnsi="Cambria"/>
          <w:sz w:val="24"/>
          <w:szCs w:val="24"/>
        </w:rPr>
        <w:t>affrontaient avant tout les aléas naturels</w:t>
      </w:r>
      <w:r w:rsidR="00EE608F">
        <w:rPr>
          <w:rFonts w:ascii="Cambria" w:hAnsi="Cambria"/>
          <w:sz w:val="24"/>
          <w:szCs w:val="24"/>
        </w:rPr>
        <w:t xml:space="preserve">, les </w:t>
      </w:r>
      <w:r w:rsidR="00EE608F" w:rsidRPr="00F615A7">
        <w:rPr>
          <w:rFonts w:ascii="Cambria" w:hAnsi="Cambria"/>
          <w:sz w:val="24"/>
          <w:szCs w:val="24"/>
        </w:rPr>
        <w:t>choix techniques</w:t>
      </w:r>
      <w:r w:rsidR="00EE608F">
        <w:rPr>
          <w:rFonts w:ascii="Cambria" w:hAnsi="Cambria"/>
          <w:sz w:val="24"/>
          <w:szCs w:val="24"/>
        </w:rPr>
        <w:t xml:space="preserve"> posés dans les années ’50 et ‘60 (généralisation de l’usage des engrais, des pesticides, des antibiotiques dans les élevages, des </w:t>
      </w:r>
      <w:r w:rsidR="00EE608F" w:rsidRPr="00F615A7">
        <w:rPr>
          <w:rFonts w:ascii="Cambria" w:hAnsi="Cambria"/>
          <w:sz w:val="24"/>
          <w:szCs w:val="24"/>
        </w:rPr>
        <w:t>organismes génétiquement modifiés</w:t>
      </w:r>
      <w:r w:rsidR="00EE608F">
        <w:rPr>
          <w:rFonts w:ascii="Cambria" w:hAnsi="Cambria"/>
          <w:sz w:val="24"/>
          <w:szCs w:val="24"/>
        </w:rPr>
        <w:t xml:space="preserve"> (OGM) pour être tolérants aux herbicides, …)</w:t>
      </w:r>
      <w:r w:rsidR="00EE608F" w:rsidRPr="00F615A7">
        <w:rPr>
          <w:rFonts w:ascii="Cambria" w:hAnsi="Cambria"/>
          <w:sz w:val="24"/>
          <w:szCs w:val="24"/>
        </w:rPr>
        <w:t xml:space="preserve"> </w:t>
      </w:r>
      <w:r w:rsidR="00EE608F">
        <w:rPr>
          <w:rFonts w:ascii="Cambria" w:hAnsi="Cambria"/>
          <w:sz w:val="24"/>
          <w:szCs w:val="24"/>
        </w:rPr>
        <w:t>ont introduit, via le monde agricole,</w:t>
      </w:r>
      <w:r w:rsidR="00EE608F" w:rsidRPr="00F615A7">
        <w:rPr>
          <w:rFonts w:ascii="Cambria" w:hAnsi="Cambria"/>
          <w:sz w:val="24"/>
          <w:szCs w:val="24"/>
        </w:rPr>
        <w:t xml:space="preserve"> </w:t>
      </w:r>
      <w:r w:rsidR="00EE608F">
        <w:rPr>
          <w:rFonts w:ascii="Cambria" w:hAnsi="Cambria"/>
          <w:sz w:val="24"/>
          <w:szCs w:val="24"/>
        </w:rPr>
        <w:t xml:space="preserve">de </w:t>
      </w:r>
      <w:r w:rsidR="00EE608F" w:rsidRPr="003B0BC5">
        <w:rPr>
          <w:rFonts w:ascii="Cambria" w:hAnsi="Cambria"/>
          <w:b/>
          <w:bCs/>
          <w:sz w:val="24"/>
          <w:szCs w:val="24"/>
        </w:rPr>
        <w:t>nouvelles menaces</w:t>
      </w:r>
      <w:r w:rsidR="00EE608F">
        <w:rPr>
          <w:rFonts w:ascii="Cambria" w:hAnsi="Cambria"/>
          <w:sz w:val="24"/>
          <w:szCs w:val="24"/>
        </w:rPr>
        <w:t xml:space="preserve"> inconnues,</w:t>
      </w:r>
      <w:r w:rsidR="00EE608F" w:rsidRPr="001E6272">
        <w:rPr>
          <w:rFonts w:ascii="Cambria" w:hAnsi="Cambria"/>
          <w:sz w:val="24"/>
          <w:szCs w:val="24"/>
        </w:rPr>
        <w:t xml:space="preserve"> invisibles, diffuses et systémiques, échappant aux mécanismes classiques de gestion</w:t>
      </w:r>
      <w:r w:rsidR="00FA1C9C">
        <w:rPr>
          <w:rFonts w:ascii="Cambria" w:hAnsi="Cambria"/>
          <w:sz w:val="24"/>
          <w:szCs w:val="24"/>
        </w:rPr>
        <w:t>. Elles</w:t>
      </w:r>
      <w:r w:rsidR="00EE608F">
        <w:rPr>
          <w:rFonts w:ascii="Cambria" w:hAnsi="Cambria"/>
          <w:sz w:val="24"/>
          <w:szCs w:val="24"/>
        </w:rPr>
        <w:t xml:space="preserve"> n</w:t>
      </w:r>
      <w:r w:rsidR="00EE608F" w:rsidRPr="00F615A7">
        <w:rPr>
          <w:rFonts w:ascii="Cambria" w:hAnsi="Cambria"/>
          <w:sz w:val="24"/>
          <w:szCs w:val="24"/>
        </w:rPr>
        <w:t>e se limit</w:t>
      </w:r>
      <w:r w:rsidR="00FA1C9C">
        <w:rPr>
          <w:rFonts w:ascii="Cambria" w:hAnsi="Cambria"/>
          <w:sz w:val="24"/>
          <w:szCs w:val="24"/>
        </w:rPr>
        <w:t>e</w:t>
      </w:r>
      <w:r w:rsidR="00EE608F" w:rsidRPr="00F615A7">
        <w:rPr>
          <w:rFonts w:ascii="Cambria" w:hAnsi="Cambria"/>
          <w:sz w:val="24"/>
          <w:szCs w:val="24"/>
        </w:rPr>
        <w:t xml:space="preserve">nt pas </w:t>
      </w:r>
      <w:r w:rsidR="00EE608F">
        <w:rPr>
          <w:rFonts w:ascii="Cambria" w:hAnsi="Cambria"/>
          <w:sz w:val="24"/>
          <w:szCs w:val="24"/>
        </w:rPr>
        <w:t>cette fois, tels les caprices de la nature, aux effets sur les</w:t>
      </w:r>
      <w:r w:rsidR="003B0BC5">
        <w:rPr>
          <w:rFonts w:ascii="Cambria" w:hAnsi="Cambria"/>
          <w:sz w:val="24"/>
          <w:szCs w:val="24"/>
        </w:rPr>
        <w:t xml:space="preserve"> seules</w:t>
      </w:r>
      <w:r w:rsidR="00EE608F" w:rsidRPr="00F615A7">
        <w:rPr>
          <w:rFonts w:ascii="Cambria" w:hAnsi="Cambria"/>
          <w:sz w:val="24"/>
          <w:szCs w:val="24"/>
        </w:rPr>
        <w:t xml:space="preserve"> exploitations</w:t>
      </w:r>
      <w:r w:rsidR="00EE608F">
        <w:rPr>
          <w:rFonts w:ascii="Cambria" w:hAnsi="Cambria"/>
          <w:sz w:val="24"/>
          <w:szCs w:val="24"/>
        </w:rPr>
        <w:t xml:space="preserve"> agricoles, mais </w:t>
      </w:r>
      <w:r w:rsidR="00FA1C9C">
        <w:rPr>
          <w:rFonts w:ascii="Cambria" w:hAnsi="Cambria"/>
          <w:sz w:val="24"/>
          <w:szCs w:val="24"/>
        </w:rPr>
        <w:t xml:space="preserve">elles sont </w:t>
      </w:r>
      <w:r w:rsidR="00EE608F" w:rsidRPr="00176ADE">
        <w:rPr>
          <w:rFonts w:ascii="Cambria" w:hAnsi="Cambria"/>
          <w:b/>
          <w:bCs/>
          <w:sz w:val="24"/>
          <w:szCs w:val="24"/>
        </w:rPr>
        <w:t>susceptibles d’affecter la société dans son ensemble</w:t>
      </w:r>
      <w:r w:rsidR="00EE608F">
        <w:rPr>
          <w:rFonts w:ascii="Cambria" w:hAnsi="Cambria"/>
          <w:b/>
          <w:bCs/>
          <w:sz w:val="24"/>
          <w:szCs w:val="24"/>
        </w:rPr>
        <w:t>, nos écosystèmes</w:t>
      </w:r>
      <w:r w:rsidR="00EE608F" w:rsidRPr="00176ADE">
        <w:rPr>
          <w:rFonts w:ascii="Cambria" w:hAnsi="Cambria"/>
          <w:b/>
          <w:bCs/>
          <w:sz w:val="24"/>
          <w:szCs w:val="24"/>
        </w:rPr>
        <w:t xml:space="preserve"> et même</w:t>
      </w:r>
      <w:r w:rsidR="00EE608F">
        <w:rPr>
          <w:rFonts w:ascii="Cambria" w:hAnsi="Cambria"/>
          <w:b/>
          <w:bCs/>
          <w:sz w:val="24"/>
          <w:szCs w:val="24"/>
        </w:rPr>
        <w:t xml:space="preserve"> de compromettre la santé</w:t>
      </w:r>
      <w:r w:rsidR="00EE608F" w:rsidRPr="00176ADE">
        <w:rPr>
          <w:rFonts w:ascii="Cambria" w:hAnsi="Cambria"/>
          <w:b/>
          <w:bCs/>
          <w:sz w:val="24"/>
          <w:szCs w:val="24"/>
        </w:rPr>
        <w:t xml:space="preserve"> </w:t>
      </w:r>
      <w:r w:rsidR="00EE608F">
        <w:rPr>
          <w:rFonts w:ascii="Cambria" w:hAnsi="Cambria"/>
          <w:b/>
          <w:bCs/>
          <w:sz w:val="24"/>
          <w:szCs w:val="24"/>
        </w:rPr>
        <w:t>d</w:t>
      </w:r>
      <w:r w:rsidR="00EE608F" w:rsidRPr="00176ADE">
        <w:rPr>
          <w:rFonts w:ascii="Cambria" w:hAnsi="Cambria"/>
          <w:b/>
          <w:bCs/>
          <w:sz w:val="24"/>
          <w:szCs w:val="24"/>
        </w:rPr>
        <w:t>es générations futures</w:t>
      </w:r>
      <w:r w:rsidR="00EE608F">
        <w:rPr>
          <w:rFonts w:ascii="Cambria" w:hAnsi="Cambria"/>
          <w:sz w:val="24"/>
          <w:szCs w:val="24"/>
        </w:rPr>
        <w:t>. C’est pourquoi nous parlons de basculement.</w:t>
      </w:r>
    </w:p>
    <w:p w14:paraId="34773759" w14:textId="77777777" w:rsidR="00EE608F" w:rsidRDefault="00EE608F" w:rsidP="00B54758">
      <w:pPr>
        <w:jc w:val="both"/>
        <w:rPr>
          <w:rFonts w:ascii="Cambria" w:hAnsi="Cambria"/>
          <w:sz w:val="24"/>
          <w:szCs w:val="24"/>
        </w:rPr>
      </w:pPr>
    </w:p>
    <w:p w14:paraId="703106DB" w14:textId="58188570" w:rsidR="007D4BDD" w:rsidRPr="006738FD" w:rsidRDefault="007D4BDD" w:rsidP="007D4BDD">
      <w:pPr>
        <w:jc w:val="both"/>
        <w:rPr>
          <w:rFonts w:ascii="Cambria" w:hAnsi="Cambria"/>
          <w:b/>
          <w:bCs/>
          <w:color w:val="80340D" w:themeColor="accent2" w:themeShade="80"/>
          <w:sz w:val="24"/>
          <w:szCs w:val="24"/>
        </w:rPr>
      </w:pPr>
      <w:r>
        <w:rPr>
          <w:rFonts w:ascii="Cambria" w:hAnsi="Cambria"/>
          <w:b/>
          <w:bCs/>
          <w:color w:val="80340D" w:themeColor="accent2" w:themeShade="80"/>
          <w:sz w:val="24"/>
          <w:szCs w:val="24"/>
        </w:rPr>
        <w:t>Ce nouveau rapport au</w:t>
      </w:r>
      <w:r w:rsidRPr="006738FD">
        <w:rPr>
          <w:rFonts w:ascii="Cambria" w:hAnsi="Cambria"/>
          <w:b/>
          <w:bCs/>
          <w:color w:val="80340D" w:themeColor="accent2" w:themeShade="80"/>
          <w:sz w:val="24"/>
          <w:szCs w:val="24"/>
        </w:rPr>
        <w:t xml:space="preserve"> risque </w:t>
      </w:r>
      <w:r>
        <w:rPr>
          <w:rFonts w:ascii="Cambria" w:hAnsi="Cambria"/>
          <w:b/>
          <w:bCs/>
          <w:color w:val="80340D" w:themeColor="accent2" w:themeShade="80"/>
          <w:sz w:val="24"/>
          <w:szCs w:val="24"/>
        </w:rPr>
        <w:t>interroge nos capacités d’anticipation…</w:t>
      </w:r>
    </w:p>
    <w:p w14:paraId="1C3674F1" w14:textId="77777777" w:rsidR="007D4BDD" w:rsidRDefault="007D4BDD" w:rsidP="00B54758">
      <w:pPr>
        <w:jc w:val="both"/>
        <w:rPr>
          <w:rFonts w:ascii="Cambria" w:hAnsi="Cambria"/>
          <w:sz w:val="24"/>
          <w:szCs w:val="24"/>
        </w:rPr>
      </w:pPr>
    </w:p>
    <w:p w14:paraId="4949BF2F" w14:textId="28F346EF" w:rsidR="005E6D12" w:rsidRDefault="00F615A7" w:rsidP="00777EE5">
      <w:pPr>
        <w:jc w:val="both"/>
        <w:rPr>
          <w:rFonts w:ascii="Cambria" w:hAnsi="Cambria"/>
          <w:sz w:val="24"/>
          <w:szCs w:val="24"/>
        </w:rPr>
      </w:pPr>
      <w:r w:rsidRPr="00F615A7">
        <w:rPr>
          <w:rFonts w:ascii="Cambria" w:hAnsi="Cambria"/>
          <w:sz w:val="24"/>
          <w:szCs w:val="24"/>
        </w:rPr>
        <w:t xml:space="preserve">Avec l’industrialisation </w:t>
      </w:r>
      <w:r w:rsidR="001A31A2">
        <w:rPr>
          <w:rFonts w:ascii="Cambria" w:hAnsi="Cambria"/>
          <w:sz w:val="24"/>
          <w:szCs w:val="24"/>
        </w:rPr>
        <w:t>de l’</w:t>
      </w:r>
      <w:r w:rsidRPr="00F615A7">
        <w:rPr>
          <w:rFonts w:ascii="Cambria" w:hAnsi="Cambria"/>
          <w:sz w:val="24"/>
          <w:szCs w:val="24"/>
        </w:rPr>
        <w:t>agric</w:t>
      </w:r>
      <w:r w:rsidR="001A31A2">
        <w:rPr>
          <w:rFonts w:ascii="Cambria" w:hAnsi="Cambria"/>
          <w:sz w:val="24"/>
          <w:szCs w:val="24"/>
        </w:rPr>
        <w:t>ultur</w:t>
      </w:r>
      <w:r w:rsidRPr="00F615A7">
        <w:rPr>
          <w:rFonts w:ascii="Cambria" w:hAnsi="Cambria"/>
          <w:sz w:val="24"/>
          <w:szCs w:val="24"/>
        </w:rPr>
        <w:t>e</w:t>
      </w:r>
      <w:r w:rsidR="001A31A2">
        <w:rPr>
          <w:rFonts w:ascii="Cambria" w:hAnsi="Cambria"/>
          <w:sz w:val="24"/>
          <w:szCs w:val="24"/>
        </w:rPr>
        <w:t xml:space="preserve"> et de l’élevage</w:t>
      </w:r>
      <w:r w:rsidR="005E6D12" w:rsidRPr="005E6D12">
        <w:rPr>
          <w:rFonts w:ascii="Cambria" w:hAnsi="Cambria"/>
          <w:sz w:val="24"/>
          <w:szCs w:val="24"/>
        </w:rPr>
        <w:t xml:space="preserve">, </w:t>
      </w:r>
      <w:r w:rsidR="005E6D12" w:rsidRPr="005E6D12">
        <w:rPr>
          <w:rFonts w:ascii="Cambria" w:hAnsi="Cambria"/>
          <w:b/>
          <w:bCs/>
          <w:sz w:val="24"/>
          <w:szCs w:val="24"/>
        </w:rPr>
        <w:t>la notion de risque est</w:t>
      </w:r>
      <w:r w:rsidR="00777EE5" w:rsidRPr="00837FC7">
        <w:rPr>
          <w:rFonts w:ascii="Cambria" w:hAnsi="Cambria"/>
          <w:b/>
          <w:bCs/>
          <w:sz w:val="24"/>
          <w:szCs w:val="24"/>
        </w:rPr>
        <w:t xml:space="preserve"> donc</w:t>
      </w:r>
      <w:r w:rsidR="005E6D12" w:rsidRPr="005E6D12">
        <w:rPr>
          <w:rFonts w:ascii="Cambria" w:hAnsi="Cambria"/>
          <w:b/>
          <w:bCs/>
          <w:sz w:val="24"/>
          <w:szCs w:val="24"/>
        </w:rPr>
        <w:t xml:space="preserve"> devenue centrale</w:t>
      </w:r>
      <w:r w:rsidR="005E6D12" w:rsidRPr="005E6D12">
        <w:rPr>
          <w:rFonts w:ascii="Cambria" w:hAnsi="Cambria"/>
          <w:sz w:val="24"/>
          <w:szCs w:val="24"/>
        </w:rPr>
        <w:t xml:space="preserve">. Experts, décideurs politiques et citoyens s’interrogent : </w:t>
      </w:r>
      <w:r w:rsidR="009373C5">
        <w:rPr>
          <w:rFonts w:ascii="Cambria" w:hAnsi="Cambria"/>
          <w:sz w:val="24"/>
          <w:szCs w:val="24"/>
        </w:rPr>
        <w:t>l</w:t>
      </w:r>
      <w:r w:rsidR="00EC1402" w:rsidRPr="00EC1402">
        <w:rPr>
          <w:rFonts w:ascii="Cambria" w:hAnsi="Cambria"/>
          <w:sz w:val="24"/>
          <w:szCs w:val="24"/>
        </w:rPr>
        <w:t>es bénéfices économiques justifient-ils les dommages induits</w:t>
      </w:r>
      <w:r w:rsidR="001A31A2">
        <w:rPr>
          <w:rFonts w:ascii="Cambria" w:hAnsi="Cambria"/>
          <w:sz w:val="24"/>
          <w:szCs w:val="24"/>
        </w:rPr>
        <w:t xml:space="preserve"> par le mode de production</w:t>
      </w:r>
      <w:r w:rsidR="00EC1402" w:rsidRPr="00EC1402">
        <w:rPr>
          <w:rFonts w:ascii="Cambria" w:hAnsi="Cambria"/>
          <w:sz w:val="24"/>
          <w:szCs w:val="24"/>
        </w:rPr>
        <w:t xml:space="preserve"> ?</w:t>
      </w:r>
      <w:r w:rsidR="00EC1402">
        <w:rPr>
          <w:rFonts w:ascii="Cambria" w:hAnsi="Cambria"/>
          <w:sz w:val="24"/>
          <w:szCs w:val="24"/>
        </w:rPr>
        <w:t xml:space="preserve"> </w:t>
      </w:r>
      <w:r w:rsidR="001A31A2">
        <w:rPr>
          <w:rFonts w:ascii="Cambria" w:hAnsi="Cambria"/>
          <w:sz w:val="24"/>
          <w:szCs w:val="24"/>
        </w:rPr>
        <w:t>L</w:t>
      </w:r>
      <w:r w:rsidR="005E6D12" w:rsidRPr="005E6D12">
        <w:rPr>
          <w:rFonts w:ascii="Cambria" w:hAnsi="Cambria"/>
          <w:sz w:val="24"/>
          <w:szCs w:val="24"/>
        </w:rPr>
        <w:t>e</w:t>
      </w:r>
      <w:r w:rsidR="00EC1402" w:rsidRPr="00EC1402">
        <w:rPr>
          <w:rFonts w:ascii="Cambria" w:hAnsi="Cambria"/>
          <w:sz w:val="24"/>
          <w:szCs w:val="24"/>
        </w:rPr>
        <w:t>s</w:t>
      </w:r>
      <w:r w:rsidR="005E6D12" w:rsidRPr="005E6D12">
        <w:rPr>
          <w:rFonts w:ascii="Cambria" w:hAnsi="Cambria"/>
          <w:sz w:val="24"/>
          <w:szCs w:val="24"/>
        </w:rPr>
        <w:t xml:space="preserve"> risque</w:t>
      </w:r>
      <w:r w:rsidR="00EC1402" w:rsidRPr="00EC1402">
        <w:rPr>
          <w:rFonts w:ascii="Cambria" w:hAnsi="Cambria"/>
          <w:sz w:val="24"/>
          <w:szCs w:val="24"/>
        </w:rPr>
        <w:t>s, sanitaires et environnementaux,</w:t>
      </w:r>
      <w:r w:rsidR="005E6D12" w:rsidRPr="005E6D12">
        <w:rPr>
          <w:rFonts w:ascii="Cambria" w:hAnsi="Cambria"/>
          <w:sz w:val="24"/>
          <w:szCs w:val="24"/>
        </w:rPr>
        <w:t xml:space="preserve"> </w:t>
      </w:r>
      <w:r w:rsidR="00EC1402" w:rsidRPr="00EC1402">
        <w:rPr>
          <w:rFonts w:ascii="Cambria" w:hAnsi="Cambria"/>
          <w:sz w:val="24"/>
          <w:szCs w:val="24"/>
        </w:rPr>
        <w:t>son</w:t>
      </w:r>
      <w:r w:rsidR="005E6D12" w:rsidRPr="005E6D12">
        <w:rPr>
          <w:rFonts w:ascii="Cambria" w:hAnsi="Cambria"/>
          <w:sz w:val="24"/>
          <w:szCs w:val="24"/>
        </w:rPr>
        <w:t>t-il</w:t>
      </w:r>
      <w:r w:rsidR="00EC1402" w:rsidRPr="00EC1402">
        <w:rPr>
          <w:rFonts w:ascii="Cambria" w:hAnsi="Cambria"/>
          <w:sz w:val="24"/>
          <w:szCs w:val="24"/>
        </w:rPr>
        <w:t>s</w:t>
      </w:r>
      <w:r w:rsidR="005E6D12" w:rsidRPr="005E6D12">
        <w:rPr>
          <w:rFonts w:ascii="Cambria" w:hAnsi="Cambria"/>
          <w:sz w:val="24"/>
          <w:szCs w:val="24"/>
        </w:rPr>
        <w:t xml:space="preserve"> acceptable</w:t>
      </w:r>
      <w:r w:rsidR="00EC1402" w:rsidRPr="00EC1402">
        <w:rPr>
          <w:rFonts w:ascii="Cambria" w:hAnsi="Cambria"/>
          <w:sz w:val="24"/>
          <w:szCs w:val="24"/>
        </w:rPr>
        <w:t>s</w:t>
      </w:r>
      <w:r w:rsidR="005E6D12" w:rsidRPr="005E6D12">
        <w:rPr>
          <w:rFonts w:ascii="Cambria" w:hAnsi="Cambria"/>
          <w:sz w:val="24"/>
          <w:szCs w:val="24"/>
        </w:rPr>
        <w:t xml:space="preserve"> au nom de l’économie et du profit – souvent au bénéfice de quelques-uns</w:t>
      </w:r>
      <w:r w:rsidR="00EC1402" w:rsidRPr="00EC1402">
        <w:rPr>
          <w:rFonts w:ascii="Cambria" w:hAnsi="Cambria"/>
          <w:sz w:val="24"/>
          <w:szCs w:val="24"/>
        </w:rPr>
        <w:t xml:space="preserve"> (industries agroalimentaires</w:t>
      </w:r>
      <w:r w:rsidR="005E6D12" w:rsidRPr="005E6D12">
        <w:rPr>
          <w:rFonts w:ascii="Cambria" w:hAnsi="Cambria"/>
          <w:sz w:val="24"/>
          <w:szCs w:val="24"/>
        </w:rPr>
        <w:t xml:space="preserve"> </w:t>
      </w:r>
      <w:r w:rsidR="00EC1402" w:rsidRPr="00EC1402">
        <w:rPr>
          <w:rFonts w:ascii="Cambria" w:hAnsi="Cambria"/>
          <w:sz w:val="24"/>
          <w:szCs w:val="24"/>
        </w:rPr>
        <w:t xml:space="preserve">et chimiques, grossistes et distributeurs, banques et assurances) </w:t>
      </w:r>
      <w:r w:rsidR="005E6D12" w:rsidRPr="005E6D12">
        <w:rPr>
          <w:rFonts w:ascii="Cambria" w:hAnsi="Cambria"/>
          <w:sz w:val="24"/>
          <w:szCs w:val="24"/>
        </w:rPr>
        <w:t xml:space="preserve">? </w:t>
      </w:r>
      <w:r w:rsidR="00EC1402">
        <w:rPr>
          <w:rFonts w:ascii="Cambria" w:hAnsi="Cambria"/>
          <w:sz w:val="24"/>
          <w:szCs w:val="24"/>
        </w:rPr>
        <w:t xml:space="preserve">Peuvent-ils être valablement estimés malgré les </w:t>
      </w:r>
      <w:r w:rsidR="005F0F8F">
        <w:rPr>
          <w:rFonts w:ascii="Cambria" w:hAnsi="Cambria"/>
          <w:sz w:val="24"/>
          <w:szCs w:val="24"/>
        </w:rPr>
        <w:t>inconnue</w:t>
      </w:r>
      <w:r w:rsidR="00EC1402">
        <w:rPr>
          <w:rFonts w:ascii="Cambria" w:hAnsi="Cambria"/>
          <w:sz w:val="24"/>
          <w:szCs w:val="24"/>
        </w:rPr>
        <w:t>s et la faiblesse des données ? Ces risques s</w:t>
      </w:r>
      <w:r w:rsidR="00EC1402" w:rsidRPr="00EC1402">
        <w:rPr>
          <w:rFonts w:ascii="Cambria" w:hAnsi="Cambria"/>
          <w:sz w:val="24"/>
          <w:szCs w:val="24"/>
        </w:rPr>
        <w:t>ont</w:t>
      </w:r>
      <w:r w:rsidR="005E6D12" w:rsidRPr="005E6D12">
        <w:rPr>
          <w:rFonts w:ascii="Cambria" w:hAnsi="Cambria"/>
          <w:sz w:val="24"/>
          <w:szCs w:val="24"/>
        </w:rPr>
        <w:t>-il</w:t>
      </w:r>
      <w:r w:rsidR="00EC1402" w:rsidRPr="00EC1402">
        <w:rPr>
          <w:rFonts w:ascii="Cambria" w:hAnsi="Cambria"/>
          <w:sz w:val="24"/>
          <w:szCs w:val="24"/>
        </w:rPr>
        <w:t>s</w:t>
      </w:r>
      <w:r w:rsidR="005E6D12" w:rsidRPr="005E6D12">
        <w:rPr>
          <w:rFonts w:ascii="Cambria" w:hAnsi="Cambria"/>
          <w:sz w:val="24"/>
          <w:szCs w:val="24"/>
        </w:rPr>
        <w:t xml:space="preserve"> même encore maîtrisable</w:t>
      </w:r>
      <w:r w:rsidR="00EC1402" w:rsidRPr="00EC1402">
        <w:rPr>
          <w:rFonts w:ascii="Cambria" w:hAnsi="Cambria"/>
          <w:sz w:val="24"/>
          <w:szCs w:val="24"/>
        </w:rPr>
        <w:t>s</w:t>
      </w:r>
      <w:r w:rsidR="005E6D12" w:rsidRPr="005E6D12">
        <w:rPr>
          <w:rFonts w:ascii="Cambria" w:hAnsi="Cambria"/>
          <w:sz w:val="24"/>
          <w:szCs w:val="24"/>
        </w:rPr>
        <w:t xml:space="preserve"> </w:t>
      </w:r>
      <w:r w:rsidR="00EC1402" w:rsidRPr="00EC1402">
        <w:rPr>
          <w:rFonts w:ascii="Cambria" w:hAnsi="Cambria"/>
          <w:sz w:val="24"/>
          <w:szCs w:val="24"/>
        </w:rPr>
        <w:t>face à des effets globaux, irréversibles et transgénérationnels</w:t>
      </w:r>
      <w:r w:rsidR="00EC1402">
        <w:rPr>
          <w:rFonts w:ascii="Cambria" w:hAnsi="Cambria"/>
          <w:sz w:val="24"/>
          <w:szCs w:val="24"/>
        </w:rPr>
        <w:t xml:space="preserve"> </w:t>
      </w:r>
      <w:r w:rsidR="005E6D12" w:rsidRPr="005E6D12">
        <w:rPr>
          <w:rFonts w:ascii="Cambria" w:hAnsi="Cambria"/>
          <w:sz w:val="24"/>
          <w:szCs w:val="24"/>
        </w:rPr>
        <w:t xml:space="preserve">? Car si l’évaluation scientifique du risque s’appuie sur des modèles et </w:t>
      </w:r>
      <w:r w:rsidR="00EC1402">
        <w:rPr>
          <w:rFonts w:ascii="Cambria" w:hAnsi="Cambria"/>
          <w:sz w:val="24"/>
          <w:szCs w:val="24"/>
        </w:rPr>
        <w:t xml:space="preserve">des démarches </w:t>
      </w:r>
      <w:r w:rsidR="00EC1402">
        <w:rPr>
          <w:rFonts w:ascii="Cambria" w:hAnsi="Cambria"/>
          <w:sz w:val="24"/>
          <w:szCs w:val="24"/>
        </w:rPr>
        <w:lastRenderedPageBreak/>
        <w:t>scientifiques</w:t>
      </w:r>
      <w:r w:rsidR="005E6D12" w:rsidRPr="005E6D12">
        <w:rPr>
          <w:rFonts w:ascii="Cambria" w:hAnsi="Cambria"/>
          <w:sz w:val="24"/>
          <w:szCs w:val="24"/>
        </w:rPr>
        <w:t>, elle demeure limitée par de nombreuses incertitudes, notamment lorsqu’il s’agit de mesurer les effets à long terme, cumulés</w:t>
      </w:r>
      <w:r w:rsidR="00293001">
        <w:rPr>
          <w:rFonts w:ascii="Cambria" w:hAnsi="Cambria"/>
          <w:sz w:val="24"/>
          <w:szCs w:val="24"/>
        </w:rPr>
        <w:t>, synergiques</w:t>
      </w:r>
      <w:r w:rsidR="005E6D12" w:rsidRPr="005E6D12">
        <w:rPr>
          <w:rFonts w:ascii="Cambria" w:hAnsi="Cambria"/>
          <w:sz w:val="24"/>
          <w:szCs w:val="24"/>
        </w:rPr>
        <w:t xml:space="preserve"> </w:t>
      </w:r>
      <w:r w:rsidR="00293001">
        <w:rPr>
          <w:rFonts w:ascii="Cambria" w:hAnsi="Cambria"/>
          <w:sz w:val="24"/>
          <w:szCs w:val="24"/>
        </w:rPr>
        <w:t>ou</w:t>
      </w:r>
      <w:r w:rsidR="005E6D12" w:rsidRPr="005E6D12">
        <w:rPr>
          <w:rFonts w:ascii="Cambria" w:hAnsi="Cambria"/>
          <w:sz w:val="24"/>
          <w:szCs w:val="24"/>
        </w:rPr>
        <w:t xml:space="preserve"> systémiques</w:t>
      </w:r>
      <w:r w:rsidR="00293001">
        <w:rPr>
          <w:rFonts w:ascii="Cambria" w:hAnsi="Cambria"/>
          <w:sz w:val="24"/>
          <w:szCs w:val="24"/>
        </w:rPr>
        <w:t xml:space="preserve"> des substances chimiques</w:t>
      </w:r>
      <w:r w:rsidR="007A1336">
        <w:rPr>
          <w:rFonts w:ascii="Cambria" w:hAnsi="Cambria"/>
          <w:sz w:val="24"/>
          <w:szCs w:val="24"/>
        </w:rPr>
        <w:t xml:space="preserve"> utilisées en agriculture</w:t>
      </w:r>
      <w:r w:rsidR="005E6D12" w:rsidRPr="005E6D12">
        <w:rPr>
          <w:rFonts w:ascii="Cambria" w:hAnsi="Cambria"/>
          <w:sz w:val="24"/>
          <w:szCs w:val="24"/>
        </w:rPr>
        <w:t>.</w:t>
      </w:r>
    </w:p>
    <w:p w14:paraId="6B2D536C" w14:textId="77777777" w:rsidR="0085018B" w:rsidRDefault="0085018B" w:rsidP="00777EE5">
      <w:pPr>
        <w:jc w:val="both"/>
        <w:rPr>
          <w:rFonts w:ascii="Cambria" w:hAnsi="Cambria"/>
          <w:sz w:val="24"/>
          <w:szCs w:val="24"/>
        </w:rPr>
      </w:pPr>
    </w:p>
    <w:p w14:paraId="17A21C25" w14:textId="37514613" w:rsidR="0085018B" w:rsidRPr="0085018B" w:rsidRDefault="0085018B" w:rsidP="0085018B">
      <w:pPr>
        <w:jc w:val="both"/>
        <w:rPr>
          <w:rFonts w:ascii="Cambria" w:hAnsi="Cambria"/>
          <w:sz w:val="24"/>
          <w:szCs w:val="24"/>
        </w:rPr>
      </w:pPr>
      <w:r w:rsidRPr="0085018B">
        <w:rPr>
          <w:rFonts w:ascii="Cambria" w:hAnsi="Cambria"/>
          <w:sz w:val="24"/>
          <w:szCs w:val="24"/>
        </w:rPr>
        <w:t>Ces interrogations renvoient</w:t>
      </w:r>
      <w:r>
        <w:rPr>
          <w:rFonts w:ascii="Cambria" w:hAnsi="Cambria"/>
          <w:sz w:val="24"/>
          <w:szCs w:val="24"/>
        </w:rPr>
        <w:t xml:space="preserve"> </w:t>
      </w:r>
      <w:r w:rsidRPr="0085018B">
        <w:rPr>
          <w:rFonts w:ascii="Cambria" w:hAnsi="Cambria"/>
          <w:sz w:val="24"/>
          <w:szCs w:val="24"/>
        </w:rPr>
        <w:t xml:space="preserve">à </w:t>
      </w:r>
      <w:r w:rsidRPr="00BA5075">
        <w:rPr>
          <w:rFonts w:ascii="Cambria" w:hAnsi="Cambria"/>
          <w:b/>
          <w:bCs/>
          <w:sz w:val="24"/>
          <w:szCs w:val="24"/>
        </w:rPr>
        <w:t>la capacité des sciences à anticiper et mesurer les risques</w:t>
      </w:r>
      <w:r w:rsidR="00373FAB">
        <w:rPr>
          <w:rFonts w:ascii="Cambria" w:hAnsi="Cambria"/>
          <w:b/>
          <w:bCs/>
          <w:sz w:val="24"/>
          <w:szCs w:val="24"/>
        </w:rPr>
        <w:t xml:space="preserve"> de cette nature</w:t>
      </w:r>
      <w:r w:rsidRPr="0085018B">
        <w:rPr>
          <w:rFonts w:ascii="Cambria" w:hAnsi="Cambria"/>
          <w:sz w:val="24"/>
          <w:szCs w:val="24"/>
        </w:rPr>
        <w:t>. Certes, la toxicologie, l’épidémiologie</w:t>
      </w:r>
      <w:r w:rsidR="00293001">
        <w:rPr>
          <w:rFonts w:ascii="Cambria" w:hAnsi="Cambria"/>
          <w:sz w:val="24"/>
          <w:szCs w:val="24"/>
        </w:rPr>
        <w:t>, la génétique</w:t>
      </w:r>
      <w:r w:rsidRPr="0085018B">
        <w:rPr>
          <w:rFonts w:ascii="Cambria" w:hAnsi="Cambria"/>
          <w:sz w:val="24"/>
          <w:szCs w:val="24"/>
        </w:rPr>
        <w:t xml:space="preserve"> et les sciences de l’environnement développent des modèles d’évaluation</w:t>
      </w:r>
      <w:r>
        <w:rPr>
          <w:rFonts w:ascii="Cambria" w:hAnsi="Cambria"/>
          <w:sz w:val="24"/>
          <w:szCs w:val="24"/>
        </w:rPr>
        <w:t xml:space="preserve"> du risque, m</w:t>
      </w:r>
      <w:r w:rsidRPr="0085018B">
        <w:rPr>
          <w:rFonts w:ascii="Cambria" w:hAnsi="Cambria"/>
          <w:sz w:val="24"/>
          <w:szCs w:val="24"/>
        </w:rPr>
        <w:t xml:space="preserve">ais ceux-ci se heurtent à des </w:t>
      </w:r>
      <w:r w:rsidRPr="008D4CB6">
        <w:rPr>
          <w:rFonts w:ascii="Cambria" w:hAnsi="Cambria"/>
          <w:b/>
          <w:bCs/>
          <w:sz w:val="24"/>
          <w:szCs w:val="24"/>
        </w:rPr>
        <w:t>limites structurelles</w:t>
      </w:r>
      <w:r w:rsidR="00487F8C" w:rsidRPr="008D4CB6">
        <w:rPr>
          <w:b/>
          <w:bCs/>
        </w:rPr>
        <w:t xml:space="preserve"> </w:t>
      </w:r>
      <w:r w:rsidR="00487F8C" w:rsidRPr="008D4CB6">
        <w:rPr>
          <w:rFonts w:ascii="Cambria" w:hAnsi="Cambria"/>
          <w:b/>
          <w:bCs/>
          <w:sz w:val="24"/>
          <w:szCs w:val="24"/>
        </w:rPr>
        <w:t>et conceptuelles</w:t>
      </w:r>
      <w:r w:rsidR="00487F8C" w:rsidRPr="00487F8C">
        <w:rPr>
          <w:rFonts w:ascii="Cambria" w:hAnsi="Cambria"/>
          <w:sz w:val="24"/>
          <w:szCs w:val="24"/>
        </w:rPr>
        <w:t>, liées à la fois à la manière dont la science évalue les risques et aux cadres épistémiques</w:t>
      </w:r>
      <w:r w:rsidR="00487F8C">
        <w:rPr>
          <w:rStyle w:val="Appelnotedebasdep"/>
          <w:rFonts w:ascii="Cambria" w:hAnsi="Cambria"/>
          <w:sz w:val="24"/>
          <w:szCs w:val="24"/>
        </w:rPr>
        <w:footnoteReference w:id="2"/>
      </w:r>
      <w:r w:rsidR="00487F8C" w:rsidRPr="00487F8C">
        <w:rPr>
          <w:rFonts w:ascii="Cambria" w:hAnsi="Cambria"/>
          <w:sz w:val="24"/>
          <w:szCs w:val="24"/>
        </w:rPr>
        <w:t xml:space="preserve"> qui orientent ces évaluations</w:t>
      </w:r>
      <w:r>
        <w:rPr>
          <w:rFonts w:ascii="Cambria" w:hAnsi="Cambria"/>
          <w:sz w:val="24"/>
          <w:szCs w:val="24"/>
        </w:rPr>
        <w:t xml:space="preserve"> </w:t>
      </w:r>
      <w:r w:rsidRPr="0085018B">
        <w:rPr>
          <w:rFonts w:ascii="Cambria" w:hAnsi="Cambria"/>
          <w:sz w:val="24"/>
          <w:szCs w:val="24"/>
        </w:rPr>
        <w:t>:</w:t>
      </w:r>
    </w:p>
    <w:p w14:paraId="411E6513" w14:textId="402E4440" w:rsidR="0085018B" w:rsidRPr="0085018B" w:rsidRDefault="0085018B" w:rsidP="0085018B">
      <w:pPr>
        <w:pStyle w:val="Paragraphedeliste"/>
        <w:numPr>
          <w:ilvl w:val="0"/>
          <w:numId w:val="3"/>
        </w:numPr>
        <w:spacing w:before="40"/>
        <w:ind w:left="284" w:hanging="284"/>
        <w:contextualSpacing w:val="0"/>
        <w:jc w:val="both"/>
        <w:rPr>
          <w:rFonts w:ascii="Cambria" w:hAnsi="Cambria"/>
          <w:sz w:val="24"/>
          <w:szCs w:val="24"/>
        </w:rPr>
      </w:pPr>
      <w:r w:rsidRPr="0085018B">
        <w:rPr>
          <w:rFonts w:ascii="Cambria" w:hAnsi="Cambria"/>
          <w:sz w:val="24"/>
          <w:szCs w:val="24"/>
        </w:rPr>
        <w:t xml:space="preserve">Ils analysent souvent </w:t>
      </w:r>
      <w:r w:rsidR="00524D53" w:rsidRPr="0085018B">
        <w:rPr>
          <w:rFonts w:ascii="Cambria" w:hAnsi="Cambria"/>
          <w:sz w:val="24"/>
          <w:szCs w:val="24"/>
        </w:rPr>
        <w:t xml:space="preserve">isolément </w:t>
      </w:r>
      <w:r w:rsidRPr="0085018B">
        <w:rPr>
          <w:rFonts w:ascii="Cambria" w:hAnsi="Cambria"/>
          <w:sz w:val="24"/>
          <w:szCs w:val="24"/>
        </w:rPr>
        <w:t>l</w:t>
      </w:r>
      <w:r w:rsidR="00524D53">
        <w:rPr>
          <w:rFonts w:ascii="Cambria" w:hAnsi="Cambria"/>
          <w:sz w:val="24"/>
          <w:szCs w:val="24"/>
        </w:rPr>
        <w:t>’effet d</w:t>
      </w:r>
      <w:r w:rsidRPr="0085018B">
        <w:rPr>
          <w:rFonts w:ascii="Cambria" w:hAnsi="Cambria"/>
          <w:sz w:val="24"/>
          <w:szCs w:val="24"/>
        </w:rPr>
        <w:t>es substances, alors que les expositions sont multiples et combinées (effet cocktail)</w:t>
      </w:r>
      <w:r>
        <w:rPr>
          <w:rFonts w:ascii="Cambria" w:hAnsi="Cambria"/>
          <w:sz w:val="24"/>
          <w:szCs w:val="24"/>
        </w:rPr>
        <w:t>.</w:t>
      </w:r>
    </w:p>
    <w:p w14:paraId="46185521" w14:textId="5B46FEB6" w:rsidR="0085018B" w:rsidRDefault="0085018B" w:rsidP="0085018B">
      <w:pPr>
        <w:pStyle w:val="Paragraphedeliste"/>
        <w:numPr>
          <w:ilvl w:val="0"/>
          <w:numId w:val="3"/>
        </w:numPr>
        <w:spacing w:before="40"/>
        <w:ind w:left="284" w:hanging="284"/>
        <w:contextualSpacing w:val="0"/>
        <w:jc w:val="both"/>
        <w:rPr>
          <w:rFonts w:ascii="Cambria" w:hAnsi="Cambria"/>
          <w:sz w:val="24"/>
          <w:szCs w:val="24"/>
        </w:rPr>
      </w:pPr>
      <w:r w:rsidRPr="0085018B">
        <w:rPr>
          <w:rFonts w:ascii="Cambria" w:hAnsi="Cambria"/>
          <w:sz w:val="24"/>
          <w:szCs w:val="24"/>
        </w:rPr>
        <w:t>Ils privilégient les effets aigus et à court terme, alors que de nombreux impacts sont chroniques, invisibles et différés (</w:t>
      </w:r>
      <w:r>
        <w:rPr>
          <w:rFonts w:ascii="Cambria" w:hAnsi="Cambria"/>
          <w:sz w:val="24"/>
          <w:szCs w:val="24"/>
        </w:rPr>
        <w:t xml:space="preserve">Parkinson, </w:t>
      </w:r>
      <w:r w:rsidRPr="0085018B">
        <w:rPr>
          <w:rFonts w:ascii="Cambria" w:hAnsi="Cambria"/>
          <w:sz w:val="24"/>
          <w:szCs w:val="24"/>
        </w:rPr>
        <w:t>cancers, perturbations endocriniennes)</w:t>
      </w:r>
      <w:r w:rsidR="00DC26C3">
        <w:rPr>
          <w:rFonts w:ascii="Cambria" w:hAnsi="Cambria"/>
          <w:sz w:val="24"/>
          <w:szCs w:val="24"/>
        </w:rPr>
        <w:t>.</w:t>
      </w:r>
    </w:p>
    <w:p w14:paraId="1B76BB9E" w14:textId="27F893D3" w:rsidR="00293001" w:rsidRPr="0085018B" w:rsidRDefault="00293001" w:rsidP="0085018B">
      <w:pPr>
        <w:pStyle w:val="Paragraphedeliste"/>
        <w:numPr>
          <w:ilvl w:val="0"/>
          <w:numId w:val="3"/>
        </w:numPr>
        <w:spacing w:before="40"/>
        <w:ind w:left="284" w:hanging="284"/>
        <w:contextualSpacing w:val="0"/>
        <w:jc w:val="both"/>
        <w:rPr>
          <w:rFonts w:ascii="Cambria" w:hAnsi="Cambria"/>
          <w:sz w:val="24"/>
          <w:szCs w:val="24"/>
        </w:rPr>
      </w:pPr>
      <w:r>
        <w:rPr>
          <w:rFonts w:ascii="Cambria" w:hAnsi="Cambria"/>
          <w:sz w:val="24"/>
          <w:szCs w:val="24"/>
        </w:rPr>
        <w:t xml:space="preserve">Ils sont incapables d’intégrer les nombreux facteurs susceptibles d’aggraver les effets </w:t>
      </w:r>
      <w:r w:rsidR="00B442B1">
        <w:rPr>
          <w:rFonts w:ascii="Cambria" w:hAnsi="Cambria"/>
          <w:sz w:val="24"/>
          <w:szCs w:val="24"/>
        </w:rPr>
        <w:t xml:space="preserve">néfastes sur l’organisme </w:t>
      </w:r>
      <w:r>
        <w:rPr>
          <w:rFonts w:ascii="Cambria" w:hAnsi="Cambria"/>
          <w:sz w:val="24"/>
          <w:szCs w:val="24"/>
        </w:rPr>
        <w:t>(</w:t>
      </w:r>
      <w:r w:rsidR="00B442B1">
        <w:rPr>
          <w:rFonts w:ascii="Cambria" w:hAnsi="Cambria"/>
          <w:sz w:val="24"/>
          <w:szCs w:val="24"/>
        </w:rPr>
        <w:t xml:space="preserve">voie d’exposition, </w:t>
      </w:r>
      <w:r>
        <w:rPr>
          <w:rFonts w:ascii="Cambria" w:hAnsi="Cambria"/>
          <w:sz w:val="24"/>
          <w:szCs w:val="24"/>
        </w:rPr>
        <w:t>âge, état de santé, habitudes alimentaires, mode</w:t>
      </w:r>
      <w:r w:rsidR="00B442B1">
        <w:rPr>
          <w:rFonts w:ascii="Cambria" w:hAnsi="Cambria"/>
          <w:sz w:val="24"/>
          <w:szCs w:val="24"/>
        </w:rPr>
        <w:t xml:space="preserve"> et </w:t>
      </w:r>
      <w:r>
        <w:rPr>
          <w:rFonts w:ascii="Cambria" w:hAnsi="Cambria"/>
          <w:sz w:val="24"/>
          <w:szCs w:val="24"/>
        </w:rPr>
        <w:t>environnement</w:t>
      </w:r>
      <w:r w:rsidR="00B442B1" w:rsidRPr="00B442B1">
        <w:rPr>
          <w:rFonts w:ascii="Cambria" w:hAnsi="Cambria"/>
          <w:sz w:val="24"/>
          <w:szCs w:val="24"/>
        </w:rPr>
        <w:t xml:space="preserve"> </w:t>
      </w:r>
      <w:r w:rsidR="00B442B1">
        <w:rPr>
          <w:rFonts w:ascii="Cambria" w:hAnsi="Cambria"/>
          <w:sz w:val="24"/>
          <w:szCs w:val="24"/>
        </w:rPr>
        <w:t>de vie, situation professionnelle, …) (Schiffers, 2</w:t>
      </w:r>
      <w:r w:rsidR="009373C5">
        <w:rPr>
          <w:rFonts w:ascii="Cambria" w:hAnsi="Cambria"/>
          <w:sz w:val="24"/>
          <w:szCs w:val="24"/>
        </w:rPr>
        <w:t>01</w:t>
      </w:r>
      <w:r w:rsidR="00B442B1">
        <w:rPr>
          <w:rFonts w:ascii="Cambria" w:hAnsi="Cambria"/>
          <w:sz w:val="24"/>
          <w:szCs w:val="24"/>
        </w:rPr>
        <w:t>2).</w:t>
      </w:r>
    </w:p>
    <w:p w14:paraId="2E86BAEA" w14:textId="74EC1CAF" w:rsidR="0085018B" w:rsidRPr="0085018B" w:rsidRDefault="0085018B" w:rsidP="0085018B">
      <w:pPr>
        <w:pStyle w:val="Paragraphedeliste"/>
        <w:numPr>
          <w:ilvl w:val="0"/>
          <w:numId w:val="3"/>
        </w:numPr>
        <w:spacing w:before="40"/>
        <w:ind w:left="284" w:hanging="284"/>
        <w:contextualSpacing w:val="0"/>
        <w:jc w:val="both"/>
        <w:rPr>
          <w:rFonts w:ascii="Cambria" w:hAnsi="Cambria"/>
          <w:sz w:val="24"/>
          <w:szCs w:val="24"/>
        </w:rPr>
      </w:pPr>
      <w:r w:rsidRPr="0085018B">
        <w:rPr>
          <w:rFonts w:ascii="Cambria" w:hAnsi="Cambria"/>
          <w:sz w:val="24"/>
          <w:szCs w:val="24"/>
        </w:rPr>
        <w:t xml:space="preserve">Ils reposent sur des seuils d’acceptabilité fixés autant par des compromis politiques que par des certitudes scientifiques (Stirling, 2007 ; </w:t>
      </w:r>
      <w:proofErr w:type="spellStart"/>
      <w:r w:rsidRPr="0085018B">
        <w:rPr>
          <w:rFonts w:ascii="Cambria" w:hAnsi="Cambria"/>
          <w:sz w:val="24"/>
          <w:szCs w:val="24"/>
        </w:rPr>
        <w:t>Jasanoff</w:t>
      </w:r>
      <w:proofErr w:type="spellEnd"/>
      <w:r w:rsidRPr="0085018B">
        <w:rPr>
          <w:rFonts w:ascii="Cambria" w:hAnsi="Cambria"/>
          <w:sz w:val="24"/>
          <w:szCs w:val="24"/>
        </w:rPr>
        <w:t>, 1999).</w:t>
      </w:r>
    </w:p>
    <w:p w14:paraId="2DC04BC7" w14:textId="77777777" w:rsidR="007D4BDD" w:rsidRDefault="007D4BDD" w:rsidP="0085018B">
      <w:pPr>
        <w:jc w:val="both"/>
        <w:rPr>
          <w:rFonts w:ascii="Cambria" w:hAnsi="Cambria"/>
          <w:sz w:val="24"/>
          <w:szCs w:val="24"/>
        </w:rPr>
      </w:pPr>
    </w:p>
    <w:p w14:paraId="1F928126" w14:textId="7E4AF9C9" w:rsidR="00A05DEC" w:rsidRDefault="007D4BDD" w:rsidP="0085018B">
      <w:pPr>
        <w:jc w:val="both"/>
        <w:rPr>
          <w:rFonts w:ascii="Cambria" w:hAnsi="Cambria"/>
          <w:sz w:val="24"/>
          <w:szCs w:val="24"/>
        </w:rPr>
      </w:pPr>
      <w:r w:rsidRPr="007D4BDD">
        <w:rPr>
          <w:rFonts w:ascii="Cambria" w:hAnsi="Cambria"/>
          <w:sz w:val="24"/>
          <w:szCs w:val="24"/>
        </w:rPr>
        <w:t xml:space="preserve">C’est en réponse à toutes ces incertitudes que </w:t>
      </w:r>
      <w:r w:rsidRPr="00EE4325">
        <w:rPr>
          <w:rFonts w:ascii="Cambria" w:hAnsi="Cambria"/>
          <w:sz w:val="24"/>
          <w:szCs w:val="24"/>
        </w:rPr>
        <w:t>le</w:t>
      </w:r>
      <w:r w:rsidRPr="007D4BDD">
        <w:rPr>
          <w:rFonts w:ascii="Cambria" w:hAnsi="Cambria"/>
          <w:b/>
          <w:bCs/>
          <w:sz w:val="24"/>
          <w:szCs w:val="24"/>
        </w:rPr>
        <w:t xml:space="preserve"> principe de précaution</w:t>
      </w:r>
      <w:r w:rsidRPr="007D4BDD">
        <w:rPr>
          <w:rFonts w:ascii="Cambria" w:hAnsi="Cambria"/>
          <w:sz w:val="24"/>
          <w:szCs w:val="24"/>
        </w:rPr>
        <w:t xml:space="preserve"> a été consacré sur la scène internationale par la Déclaration de Rio (1992</w:t>
      </w:r>
      <w:r w:rsidR="00132FCF">
        <w:rPr>
          <w:rFonts w:ascii="Cambria" w:hAnsi="Cambria"/>
          <w:sz w:val="24"/>
          <w:szCs w:val="24"/>
        </w:rPr>
        <w:t>, Principe 15</w:t>
      </w:r>
      <w:r w:rsidRPr="007D4BDD">
        <w:rPr>
          <w:rFonts w:ascii="Cambria" w:hAnsi="Cambria"/>
          <w:sz w:val="24"/>
          <w:szCs w:val="24"/>
        </w:rPr>
        <w:t xml:space="preserve">), puis intégré dans le droit européen : en cas de risque de dommages graves ou irréversibles, </w:t>
      </w:r>
      <w:r w:rsidR="00A05DEC" w:rsidRPr="00A05DEC">
        <w:rPr>
          <w:rFonts w:ascii="Cambria" w:hAnsi="Cambria"/>
          <w:b/>
          <w:bCs/>
          <w:sz w:val="24"/>
          <w:szCs w:val="24"/>
        </w:rPr>
        <w:t>l’absence de certitude scientifique absolue</w:t>
      </w:r>
      <w:r w:rsidR="00A05DEC">
        <w:rPr>
          <w:rFonts w:ascii="Cambria" w:hAnsi="Cambria"/>
          <w:b/>
          <w:bCs/>
          <w:sz w:val="24"/>
          <w:szCs w:val="24"/>
        </w:rPr>
        <w:t xml:space="preserve"> </w:t>
      </w:r>
      <w:r w:rsidRPr="000C4C8E">
        <w:rPr>
          <w:rFonts w:ascii="Cambria" w:hAnsi="Cambria"/>
          <w:b/>
          <w:bCs/>
          <w:sz w:val="24"/>
          <w:szCs w:val="24"/>
        </w:rPr>
        <w:t xml:space="preserve">ne doit pas servir d’alibi </w:t>
      </w:r>
      <w:r w:rsidR="00EE4325" w:rsidRPr="00A05DEC">
        <w:rPr>
          <w:rFonts w:ascii="Cambria" w:hAnsi="Cambria"/>
          <w:sz w:val="24"/>
          <w:szCs w:val="24"/>
        </w:rPr>
        <w:t>pour retarder l’adoption de mesures de protection de l’environnement, de la santé ou de la sécurité</w:t>
      </w:r>
      <w:r w:rsidR="00075324" w:rsidRPr="00A05DEC">
        <w:rPr>
          <w:rFonts w:ascii="Cambria" w:hAnsi="Cambria"/>
          <w:sz w:val="24"/>
          <w:szCs w:val="24"/>
        </w:rPr>
        <w:t>. Que du contraire !</w:t>
      </w:r>
      <w:r w:rsidRPr="007D4BDD">
        <w:rPr>
          <w:rFonts w:ascii="Cambria" w:hAnsi="Cambria"/>
          <w:sz w:val="24"/>
          <w:szCs w:val="24"/>
        </w:rPr>
        <w:t xml:space="preserve"> L’idée avait toutefois été formulée dès la fin des années 1970 (Jonas, 1979) et a ensuite fait l’objet de nombreux approfondissements théoriques et débats (Godard, 1997). </w:t>
      </w:r>
    </w:p>
    <w:p w14:paraId="5FA3A355" w14:textId="77777777" w:rsidR="00A05DEC" w:rsidRDefault="00A05DEC" w:rsidP="0085018B">
      <w:pPr>
        <w:jc w:val="both"/>
        <w:rPr>
          <w:rFonts w:ascii="Cambria" w:hAnsi="Cambria"/>
          <w:sz w:val="24"/>
          <w:szCs w:val="24"/>
        </w:rPr>
      </w:pPr>
    </w:p>
    <w:p w14:paraId="3DC48216" w14:textId="444CB10F" w:rsidR="00A05DEC" w:rsidRDefault="00EE4325" w:rsidP="00A05DEC">
      <w:pPr>
        <w:jc w:val="both"/>
        <w:rPr>
          <w:rFonts w:ascii="Cambria" w:hAnsi="Cambria"/>
          <w:sz w:val="24"/>
          <w:szCs w:val="24"/>
        </w:rPr>
      </w:pPr>
      <w:r>
        <w:rPr>
          <w:rFonts w:ascii="Cambria" w:hAnsi="Cambria"/>
          <w:sz w:val="24"/>
          <w:szCs w:val="24"/>
        </w:rPr>
        <w:t xml:space="preserve">Comme il est </w:t>
      </w:r>
      <w:r w:rsidRPr="00524D53">
        <w:rPr>
          <w:rFonts w:ascii="Cambria" w:hAnsi="Cambria"/>
          <w:b/>
          <w:bCs/>
          <w:sz w:val="24"/>
          <w:szCs w:val="24"/>
        </w:rPr>
        <w:t>trop souvent mal compris</w:t>
      </w:r>
      <w:r>
        <w:rPr>
          <w:rFonts w:ascii="Cambria" w:hAnsi="Cambria"/>
          <w:sz w:val="24"/>
          <w:szCs w:val="24"/>
        </w:rPr>
        <w:t xml:space="preserve">, et par conséquent </w:t>
      </w:r>
      <w:r w:rsidR="00B11532">
        <w:rPr>
          <w:rFonts w:ascii="Cambria" w:hAnsi="Cambria"/>
          <w:sz w:val="24"/>
          <w:szCs w:val="24"/>
        </w:rPr>
        <w:t>in</w:t>
      </w:r>
      <w:r>
        <w:rPr>
          <w:rFonts w:ascii="Cambria" w:hAnsi="Cambria"/>
          <w:sz w:val="24"/>
          <w:szCs w:val="24"/>
        </w:rPr>
        <w:t>voqué sans raison</w:t>
      </w:r>
      <w:r w:rsidR="00B11532">
        <w:rPr>
          <w:rFonts w:ascii="Cambria" w:hAnsi="Cambria"/>
          <w:sz w:val="24"/>
          <w:szCs w:val="24"/>
        </w:rPr>
        <w:t xml:space="preserve"> valable</w:t>
      </w:r>
      <w:r>
        <w:rPr>
          <w:rFonts w:ascii="Cambria" w:hAnsi="Cambria"/>
          <w:sz w:val="24"/>
          <w:szCs w:val="24"/>
        </w:rPr>
        <w:t xml:space="preserve">, rappelons que pour être légitimement appliqué le principe de précaution requiert trois conditions indissociables : </w:t>
      </w:r>
      <w:r w:rsidR="00A05DEC">
        <w:rPr>
          <w:rFonts w:ascii="Cambria" w:hAnsi="Cambria"/>
          <w:sz w:val="24"/>
          <w:szCs w:val="24"/>
        </w:rPr>
        <w:t xml:space="preserve">a) </w:t>
      </w:r>
      <w:r w:rsidRPr="00A05DEC">
        <w:rPr>
          <w:rFonts w:ascii="Cambria" w:hAnsi="Cambria"/>
          <w:sz w:val="24"/>
          <w:szCs w:val="24"/>
        </w:rPr>
        <w:t>le risque doit être lié à un dommage réel et conséquent pour la santé, l’environnement et/ou l’économie</w:t>
      </w:r>
      <w:r w:rsidR="00A05DEC" w:rsidRPr="00A05DEC">
        <w:rPr>
          <w:rFonts w:ascii="Cambria" w:hAnsi="Cambria"/>
          <w:sz w:val="24"/>
          <w:szCs w:val="24"/>
        </w:rPr>
        <w:t xml:space="preserve"> (risque crédible, portant sur un enjeu majeur</w:t>
      </w:r>
      <w:r w:rsidR="00A05DEC">
        <w:rPr>
          <w:rFonts w:ascii="Cambria" w:hAnsi="Cambria"/>
          <w:sz w:val="24"/>
          <w:szCs w:val="24"/>
        </w:rPr>
        <w:t>)</w:t>
      </w:r>
      <w:r w:rsidRPr="00A05DEC">
        <w:rPr>
          <w:rFonts w:ascii="Cambria" w:hAnsi="Cambria"/>
          <w:sz w:val="24"/>
          <w:szCs w:val="24"/>
        </w:rPr>
        <w:t xml:space="preserve">; </w:t>
      </w:r>
      <w:r w:rsidR="00B11532">
        <w:rPr>
          <w:rFonts w:ascii="Cambria" w:hAnsi="Cambria"/>
          <w:sz w:val="24"/>
          <w:szCs w:val="24"/>
        </w:rPr>
        <w:t xml:space="preserve">b) </w:t>
      </w:r>
      <w:r w:rsidRPr="00A05DEC">
        <w:rPr>
          <w:rFonts w:ascii="Cambria" w:hAnsi="Cambria"/>
          <w:sz w:val="24"/>
          <w:szCs w:val="24"/>
        </w:rPr>
        <w:t xml:space="preserve">il doit avoir été </w:t>
      </w:r>
      <w:r w:rsidR="00A05DEC" w:rsidRPr="00A05DEC">
        <w:rPr>
          <w:rFonts w:ascii="Cambria" w:hAnsi="Cambria"/>
          <w:sz w:val="24"/>
          <w:szCs w:val="24"/>
        </w:rPr>
        <w:t>étudié sérieusement par des experts indépendants, même si les conclusions restent incertaines</w:t>
      </w:r>
      <w:r w:rsidRPr="00A05DEC">
        <w:rPr>
          <w:rFonts w:ascii="Cambria" w:hAnsi="Cambria"/>
          <w:sz w:val="24"/>
          <w:szCs w:val="24"/>
        </w:rPr>
        <w:t xml:space="preserve">; </w:t>
      </w:r>
      <w:r w:rsidR="00B11532">
        <w:rPr>
          <w:rFonts w:ascii="Cambria" w:hAnsi="Cambria"/>
          <w:sz w:val="24"/>
          <w:szCs w:val="24"/>
        </w:rPr>
        <w:t xml:space="preserve">c) </w:t>
      </w:r>
      <w:r w:rsidRPr="00A05DEC">
        <w:rPr>
          <w:rFonts w:ascii="Cambria" w:hAnsi="Cambria"/>
          <w:sz w:val="24"/>
          <w:szCs w:val="24"/>
        </w:rPr>
        <w:t>malgré cela, une incertitude</w:t>
      </w:r>
      <w:r w:rsidR="00B11532">
        <w:rPr>
          <w:rFonts w:ascii="Cambria" w:hAnsi="Cambria"/>
          <w:sz w:val="24"/>
          <w:szCs w:val="24"/>
        </w:rPr>
        <w:t xml:space="preserve"> scientifique</w:t>
      </w:r>
      <w:r w:rsidRPr="00A05DEC">
        <w:rPr>
          <w:rFonts w:ascii="Cambria" w:hAnsi="Cambria"/>
          <w:sz w:val="24"/>
          <w:szCs w:val="24"/>
        </w:rPr>
        <w:t xml:space="preserve"> demeure</w:t>
      </w:r>
      <w:r w:rsidR="00A05DEC">
        <w:rPr>
          <w:rFonts w:ascii="Cambria" w:hAnsi="Cambria"/>
          <w:sz w:val="24"/>
          <w:szCs w:val="24"/>
        </w:rPr>
        <w:t xml:space="preserve">, </w:t>
      </w:r>
      <w:r w:rsidR="00A05DEC" w:rsidRPr="00A05DEC">
        <w:rPr>
          <w:rFonts w:ascii="Cambria" w:hAnsi="Cambria"/>
          <w:sz w:val="24"/>
          <w:szCs w:val="24"/>
        </w:rPr>
        <w:t>les connaissances disponibles ne permett</w:t>
      </w:r>
      <w:r w:rsidR="00A05DEC">
        <w:rPr>
          <w:rFonts w:ascii="Cambria" w:hAnsi="Cambria"/>
          <w:sz w:val="24"/>
          <w:szCs w:val="24"/>
        </w:rPr>
        <w:t>a</w:t>
      </w:r>
      <w:r w:rsidR="00A05DEC" w:rsidRPr="00A05DEC">
        <w:rPr>
          <w:rFonts w:ascii="Cambria" w:hAnsi="Cambria"/>
          <w:sz w:val="24"/>
          <w:szCs w:val="24"/>
        </w:rPr>
        <w:t>nt pas de trancher sur la réalité, l’ampleur ou la probabilité du risque</w:t>
      </w:r>
      <w:r w:rsidRPr="00A05DEC">
        <w:rPr>
          <w:rFonts w:ascii="Cambria" w:hAnsi="Cambria"/>
          <w:sz w:val="24"/>
          <w:szCs w:val="24"/>
        </w:rPr>
        <w:t xml:space="preserve">. </w:t>
      </w:r>
    </w:p>
    <w:p w14:paraId="65FA697D" w14:textId="77777777" w:rsidR="00A05DEC" w:rsidRDefault="00A05DEC" w:rsidP="00A05DEC">
      <w:pPr>
        <w:jc w:val="both"/>
        <w:rPr>
          <w:rFonts w:ascii="Cambria" w:hAnsi="Cambria"/>
          <w:sz w:val="24"/>
          <w:szCs w:val="24"/>
        </w:rPr>
      </w:pPr>
    </w:p>
    <w:p w14:paraId="5219293F" w14:textId="64EE8D73" w:rsidR="0085018B" w:rsidRPr="00A05DEC" w:rsidRDefault="007D4BDD" w:rsidP="00A05DEC">
      <w:pPr>
        <w:jc w:val="both"/>
        <w:rPr>
          <w:rFonts w:ascii="Cambria" w:hAnsi="Cambria"/>
          <w:sz w:val="24"/>
          <w:szCs w:val="24"/>
        </w:rPr>
      </w:pPr>
      <w:r w:rsidRPr="00A05DEC">
        <w:rPr>
          <w:rFonts w:ascii="Cambria" w:hAnsi="Cambria"/>
          <w:sz w:val="24"/>
          <w:szCs w:val="24"/>
        </w:rPr>
        <w:t>Cette approche suscit</w:t>
      </w:r>
      <w:r w:rsidR="00EE4325" w:rsidRPr="00A05DEC">
        <w:rPr>
          <w:rFonts w:ascii="Cambria" w:hAnsi="Cambria"/>
          <w:sz w:val="24"/>
          <w:szCs w:val="24"/>
        </w:rPr>
        <w:t>e</w:t>
      </w:r>
      <w:r w:rsidR="00524D53">
        <w:rPr>
          <w:rFonts w:ascii="Cambria" w:hAnsi="Cambria"/>
          <w:sz w:val="24"/>
          <w:szCs w:val="24"/>
        </w:rPr>
        <w:t xml:space="preserve"> bien</w:t>
      </w:r>
      <w:r w:rsidRPr="00A05DEC">
        <w:rPr>
          <w:rFonts w:ascii="Cambria" w:hAnsi="Cambria"/>
          <w:sz w:val="24"/>
          <w:szCs w:val="24"/>
        </w:rPr>
        <w:t xml:space="preserve"> des tensions : pour ses défenseurs, ce principe constitue un garde-fou nécessaire dans une ère d’incertitudes aussi radicales ; pour ses critiques, </w:t>
      </w:r>
      <w:r w:rsidR="00EE4325" w:rsidRPr="00A05DEC">
        <w:rPr>
          <w:rFonts w:ascii="Cambria" w:hAnsi="Cambria"/>
          <w:sz w:val="24"/>
          <w:szCs w:val="24"/>
        </w:rPr>
        <w:t>il</w:t>
      </w:r>
      <w:r w:rsidRPr="00A05DEC">
        <w:rPr>
          <w:rFonts w:ascii="Cambria" w:hAnsi="Cambria"/>
          <w:sz w:val="24"/>
          <w:szCs w:val="24"/>
        </w:rPr>
        <w:t xml:space="preserve"> est parfois « dégainé » trop systématiquement, risquant de paralyser l’innovation et d’alimenter un climat de peur. La controverse autour des OGM</w:t>
      </w:r>
      <w:r w:rsidR="007A4128" w:rsidRPr="00A05DEC">
        <w:rPr>
          <w:rFonts w:ascii="Cambria" w:hAnsi="Cambria"/>
          <w:sz w:val="24"/>
          <w:szCs w:val="24"/>
        </w:rPr>
        <w:t>, puis des « nouveaux OGM »</w:t>
      </w:r>
      <w:r w:rsidR="005E1206">
        <w:rPr>
          <w:rStyle w:val="Appelnotedebasdep"/>
          <w:rFonts w:ascii="Cambria" w:hAnsi="Cambria"/>
          <w:sz w:val="24"/>
          <w:szCs w:val="24"/>
        </w:rPr>
        <w:footnoteReference w:id="3"/>
      </w:r>
      <w:r w:rsidR="007A4128" w:rsidRPr="00A05DEC">
        <w:rPr>
          <w:rFonts w:ascii="Cambria" w:hAnsi="Cambria"/>
          <w:sz w:val="24"/>
          <w:szCs w:val="24"/>
        </w:rPr>
        <w:t>,</w:t>
      </w:r>
      <w:r w:rsidRPr="00A05DEC">
        <w:rPr>
          <w:rFonts w:ascii="Cambria" w:hAnsi="Cambria"/>
          <w:sz w:val="24"/>
          <w:szCs w:val="24"/>
        </w:rPr>
        <w:t xml:space="preserve"> en fournit un exemple clair, entre appels à la prudence (risques pour la </w:t>
      </w:r>
      <w:r w:rsidRPr="00A05DEC">
        <w:rPr>
          <w:rFonts w:ascii="Cambria" w:hAnsi="Cambria"/>
          <w:sz w:val="24"/>
          <w:szCs w:val="24"/>
        </w:rPr>
        <w:lastRenderedPageBreak/>
        <w:t xml:space="preserve">biodiversité) et dénonciations d’un </w:t>
      </w:r>
      <w:r w:rsidR="00EE4325" w:rsidRPr="00A05DEC">
        <w:rPr>
          <w:rFonts w:ascii="Cambria" w:hAnsi="Cambria"/>
          <w:sz w:val="24"/>
          <w:szCs w:val="24"/>
        </w:rPr>
        <w:t>« </w:t>
      </w:r>
      <w:r w:rsidRPr="00A05DEC">
        <w:rPr>
          <w:rFonts w:ascii="Cambria" w:hAnsi="Cambria"/>
          <w:sz w:val="24"/>
          <w:szCs w:val="24"/>
        </w:rPr>
        <w:t>blocage irrationnel » au détriment du progrès scientifique</w:t>
      </w:r>
      <w:r w:rsidR="007E7E64">
        <w:rPr>
          <w:rFonts w:ascii="Cambria" w:hAnsi="Cambria"/>
          <w:sz w:val="24"/>
          <w:szCs w:val="24"/>
        </w:rPr>
        <w:t xml:space="preserve"> (en effet, les défenseurs des OGM ne reconnaissent pas l’existence d</w:t>
      </w:r>
      <w:r w:rsidR="0031738F">
        <w:rPr>
          <w:rFonts w:ascii="Cambria" w:hAnsi="Cambria"/>
          <w:sz w:val="24"/>
          <w:szCs w:val="24"/>
        </w:rPr>
        <w:t>e</w:t>
      </w:r>
      <w:r w:rsidR="007E7E64">
        <w:rPr>
          <w:rFonts w:ascii="Cambria" w:hAnsi="Cambria"/>
          <w:sz w:val="24"/>
          <w:szCs w:val="24"/>
        </w:rPr>
        <w:t xml:space="preserve"> risque</w:t>
      </w:r>
      <w:r w:rsidR="0031738F">
        <w:rPr>
          <w:rFonts w:ascii="Cambria" w:hAnsi="Cambria"/>
          <w:sz w:val="24"/>
          <w:szCs w:val="24"/>
        </w:rPr>
        <w:t>s</w:t>
      </w:r>
      <w:r w:rsidR="007E7E64">
        <w:rPr>
          <w:rFonts w:ascii="Cambria" w:hAnsi="Cambria"/>
          <w:sz w:val="24"/>
          <w:szCs w:val="24"/>
        </w:rPr>
        <w:t xml:space="preserve"> </w:t>
      </w:r>
      <w:r w:rsidR="0031738F">
        <w:rPr>
          <w:rFonts w:ascii="Cambria" w:hAnsi="Cambria"/>
          <w:sz w:val="24"/>
          <w:szCs w:val="24"/>
        </w:rPr>
        <w:t>avérés</w:t>
      </w:r>
      <w:r w:rsidR="007E7E64">
        <w:rPr>
          <w:rFonts w:ascii="Cambria" w:hAnsi="Cambria"/>
          <w:sz w:val="24"/>
          <w:szCs w:val="24"/>
        </w:rPr>
        <w:t xml:space="preserve"> </w:t>
      </w:r>
      <w:r w:rsidR="0031738F">
        <w:rPr>
          <w:rFonts w:ascii="Cambria" w:hAnsi="Cambria"/>
          <w:sz w:val="24"/>
          <w:szCs w:val="24"/>
        </w:rPr>
        <w:t>à la suite de</w:t>
      </w:r>
      <w:r w:rsidR="007E7E64">
        <w:rPr>
          <w:rFonts w:ascii="Cambria" w:hAnsi="Cambria"/>
          <w:sz w:val="24"/>
          <w:szCs w:val="24"/>
        </w:rPr>
        <w:t xml:space="preserve"> </w:t>
      </w:r>
      <w:r w:rsidR="0031738F">
        <w:rPr>
          <w:rFonts w:ascii="Cambria" w:hAnsi="Cambria"/>
          <w:sz w:val="24"/>
          <w:szCs w:val="24"/>
        </w:rPr>
        <w:t>leur</w:t>
      </w:r>
      <w:r w:rsidR="007E7E64">
        <w:rPr>
          <w:rFonts w:ascii="Cambria" w:hAnsi="Cambria"/>
          <w:sz w:val="24"/>
          <w:szCs w:val="24"/>
        </w:rPr>
        <w:t xml:space="preserve"> utilisation)</w:t>
      </w:r>
      <w:r w:rsidR="0085018B" w:rsidRPr="00A05DEC">
        <w:rPr>
          <w:rFonts w:ascii="Cambria" w:hAnsi="Cambria"/>
          <w:sz w:val="24"/>
          <w:szCs w:val="24"/>
        </w:rPr>
        <w:t>.</w:t>
      </w:r>
    </w:p>
    <w:p w14:paraId="4C6EEC85" w14:textId="77777777" w:rsidR="007D4BDD" w:rsidRDefault="007D4BDD" w:rsidP="007D4BDD">
      <w:pPr>
        <w:jc w:val="both"/>
        <w:rPr>
          <w:rFonts w:ascii="Cambria" w:hAnsi="Cambria"/>
          <w:sz w:val="24"/>
          <w:szCs w:val="24"/>
        </w:rPr>
      </w:pPr>
    </w:p>
    <w:p w14:paraId="5674891A" w14:textId="50EC8F8F" w:rsidR="007D4BDD" w:rsidRPr="006738FD" w:rsidRDefault="007D4BDD" w:rsidP="007D4BDD">
      <w:pPr>
        <w:jc w:val="both"/>
        <w:rPr>
          <w:rFonts w:ascii="Cambria" w:hAnsi="Cambria"/>
          <w:b/>
          <w:bCs/>
          <w:color w:val="80340D" w:themeColor="accent2" w:themeShade="80"/>
          <w:sz w:val="24"/>
          <w:szCs w:val="24"/>
        </w:rPr>
      </w:pPr>
      <w:r>
        <w:rPr>
          <w:rFonts w:ascii="Cambria" w:hAnsi="Cambria"/>
          <w:b/>
          <w:bCs/>
          <w:color w:val="80340D" w:themeColor="accent2" w:themeShade="80"/>
          <w:sz w:val="24"/>
          <w:szCs w:val="24"/>
        </w:rPr>
        <w:t>… Et s’invite dans le débat sociétal</w:t>
      </w:r>
    </w:p>
    <w:p w14:paraId="1BEBAA76" w14:textId="77777777" w:rsidR="00500870" w:rsidRDefault="00500870" w:rsidP="0085018B">
      <w:pPr>
        <w:jc w:val="both"/>
        <w:rPr>
          <w:rFonts w:ascii="Cambria" w:hAnsi="Cambria"/>
          <w:sz w:val="24"/>
          <w:szCs w:val="24"/>
        </w:rPr>
      </w:pPr>
    </w:p>
    <w:p w14:paraId="35FDB85B" w14:textId="321B3A94" w:rsidR="00500870" w:rsidRDefault="00500870" w:rsidP="0085018B">
      <w:pPr>
        <w:jc w:val="both"/>
        <w:rPr>
          <w:rFonts w:ascii="Cambria" w:hAnsi="Cambria"/>
          <w:sz w:val="24"/>
          <w:szCs w:val="24"/>
        </w:rPr>
      </w:pPr>
      <w:r w:rsidRPr="00E31C7B">
        <w:rPr>
          <w:rFonts w:ascii="Cambria" w:hAnsi="Cambria"/>
          <w:b/>
          <w:bCs/>
          <w:sz w:val="24"/>
          <w:szCs w:val="24"/>
        </w:rPr>
        <w:t>Les questions environnementales et la gestion du risque sont aujourd’hui au cœur du débat sociétal</w:t>
      </w:r>
      <w:r w:rsidRPr="00500870">
        <w:rPr>
          <w:rFonts w:ascii="Cambria" w:hAnsi="Cambria"/>
          <w:sz w:val="24"/>
          <w:szCs w:val="24"/>
        </w:rPr>
        <w:t>. Divers « signaux », jadis ignorés par la plupart, sont à présent considérés comme des alertes et de plus en plus pris en compte par les scientifiques</w:t>
      </w:r>
      <w:r w:rsidR="00E31C7B">
        <w:rPr>
          <w:rFonts w:ascii="Cambria" w:hAnsi="Cambria"/>
          <w:sz w:val="24"/>
          <w:szCs w:val="24"/>
        </w:rPr>
        <w:t xml:space="preserve"> (expertises collectives)</w:t>
      </w:r>
      <w:r w:rsidRPr="00500870">
        <w:rPr>
          <w:rFonts w:ascii="Cambria" w:hAnsi="Cambria"/>
          <w:sz w:val="24"/>
          <w:szCs w:val="24"/>
        </w:rPr>
        <w:t>, les citoyens eux-mêmes et les décideurs politiques</w:t>
      </w:r>
      <w:r w:rsidR="00E31C7B">
        <w:rPr>
          <w:rFonts w:ascii="Cambria" w:hAnsi="Cambria"/>
          <w:sz w:val="24"/>
          <w:szCs w:val="24"/>
        </w:rPr>
        <w:t>, tiraillés entre la pression des lobbys et celle des citoyens conscientisés</w:t>
      </w:r>
      <w:r w:rsidR="00B12FA2">
        <w:rPr>
          <w:rFonts w:ascii="Cambria" w:hAnsi="Cambria"/>
          <w:sz w:val="24"/>
          <w:szCs w:val="24"/>
        </w:rPr>
        <w:t xml:space="preserve"> qui se mobilisent</w:t>
      </w:r>
      <w:r w:rsidRPr="00500870">
        <w:rPr>
          <w:rFonts w:ascii="Cambria" w:hAnsi="Cambria"/>
          <w:sz w:val="24"/>
          <w:szCs w:val="24"/>
        </w:rPr>
        <w:t>. Cette prise de conscience</w:t>
      </w:r>
      <w:r w:rsidR="00E31C7B">
        <w:rPr>
          <w:rFonts w:ascii="Cambria" w:hAnsi="Cambria"/>
          <w:sz w:val="24"/>
          <w:szCs w:val="24"/>
        </w:rPr>
        <w:t xml:space="preserve"> qui émerge peu à peu dans la société</w:t>
      </w:r>
      <w:r w:rsidRPr="00500870">
        <w:rPr>
          <w:rFonts w:ascii="Cambria" w:hAnsi="Cambria"/>
          <w:sz w:val="24"/>
          <w:szCs w:val="24"/>
        </w:rPr>
        <w:t xml:space="preserve"> </w:t>
      </w:r>
      <w:r w:rsidR="00B12FA2">
        <w:rPr>
          <w:rFonts w:ascii="Cambria" w:hAnsi="Cambria"/>
          <w:sz w:val="24"/>
          <w:szCs w:val="24"/>
        </w:rPr>
        <w:t>porte différents noms</w:t>
      </w:r>
      <w:r w:rsidRPr="00500870">
        <w:rPr>
          <w:rFonts w:ascii="Cambria" w:hAnsi="Cambria"/>
          <w:sz w:val="24"/>
          <w:szCs w:val="24"/>
        </w:rPr>
        <w:t xml:space="preserve"> : développement durable, </w:t>
      </w:r>
      <w:r w:rsidR="00FA6719">
        <w:rPr>
          <w:rFonts w:ascii="Cambria" w:hAnsi="Cambria"/>
          <w:sz w:val="24"/>
          <w:szCs w:val="24"/>
        </w:rPr>
        <w:t>agriculture biologique</w:t>
      </w:r>
      <w:r w:rsidR="00766488">
        <w:rPr>
          <w:rFonts w:ascii="Cambria" w:hAnsi="Cambria"/>
          <w:sz w:val="24"/>
          <w:szCs w:val="24"/>
        </w:rPr>
        <w:t xml:space="preserve"> ou agroécologie</w:t>
      </w:r>
      <w:r w:rsidR="00FA6719">
        <w:rPr>
          <w:rFonts w:ascii="Cambria" w:hAnsi="Cambria"/>
          <w:sz w:val="24"/>
          <w:szCs w:val="24"/>
        </w:rPr>
        <w:t xml:space="preserve">, </w:t>
      </w:r>
      <w:r w:rsidR="00E31C7B">
        <w:rPr>
          <w:rFonts w:ascii="Cambria" w:hAnsi="Cambria"/>
          <w:sz w:val="24"/>
          <w:szCs w:val="24"/>
        </w:rPr>
        <w:t xml:space="preserve">protection de la </w:t>
      </w:r>
      <w:r w:rsidRPr="00500870">
        <w:rPr>
          <w:rFonts w:ascii="Cambria" w:hAnsi="Cambria"/>
          <w:sz w:val="24"/>
          <w:szCs w:val="24"/>
        </w:rPr>
        <w:t>biodiversité, gestion des déchets, énergies renouvelables, principe de précaution…</w:t>
      </w:r>
      <w:r>
        <w:rPr>
          <w:rFonts w:ascii="Cambria" w:hAnsi="Cambria"/>
          <w:sz w:val="24"/>
          <w:szCs w:val="24"/>
        </w:rPr>
        <w:t xml:space="preserve"> (Schiffers, 2012).</w:t>
      </w:r>
      <w:r w:rsidR="00DF1104">
        <w:rPr>
          <w:rFonts w:ascii="Cambria" w:hAnsi="Cambria"/>
          <w:sz w:val="24"/>
          <w:szCs w:val="24"/>
        </w:rPr>
        <w:t xml:space="preserve"> Ce qui les relie</w:t>
      </w:r>
      <w:r w:rsidR="00A81EAD">
        <w:rPr>
          <w:rFonts w:ascii="Cambria" w:hAnsi="Cambria"/>
          <w:sz w:val="24"/>
          <w:szCs w:val="24"/>
        </w:rPr>
        <w:t>,</w:t>
      </w:r>
      <w:r w:rsidR="00DF1104">
        <w:rPr>
          <w:rFonts w:ascii="Cambria" w:hAnsi="Cambria"/>
          <w:sz w:val="24"/>
          <w:szCs w:val="24"/>
        </w:rPr>
        <w:t xml:space="preserve"> c’est </w:t>
      </w:r>
      <w:r w:rsidR="00DF1104" w:rsidRPr="002279EC">
        <w:rPr>
          <w:rFonts w:ascii="Cambria" w:hAnsi="Cambria"/>
          <w:b/>
          <w:bCs/>
          <w:sz w:val="24"/>
          <w:szCs w:val="24"/>
        </w:rPr>
        <w:t xml:space="preserve">la </w:t>
      </w:r>
      <w:r w:rsidR="002279EC">
        <w:rPr>
          <w:rFonts w:ascii="Cambria" w:hAnsi="Cambria"/>
          <w:b/>
          <w:bCs/>
          <w:sz w:val="24"/>
          <w:szCs w:val="24"/>
        </w:rPr>
        <w:t>re</w:t>
      </w:r>
      <w:r w:rsidR="00DF1104" w:rsidRPr="002279EC">
        <w:rPr>
          <w:rFonts w:ascii="Cambria" w:hAnsi="Cambria"/>
          <w:b/>
          <w:bCs/>
          <w:sz w:val="24"/>
          <w:szCs w:val="24"/>
        </w:rPr>
        <w:t>mise en question du modèle agricole</w:t>
      </w:r>
      <w:r w:rsidR="00DF1104">
        <w:rPr>
          <w:rFonts w:ascii="Cambria" w:hAnsi="Cambria"/>
          <w:sz w:val="24"/>
          <w:szCs w:val="24"/>
        </w:rPr>
        <w:t xml:space="preserve"> basé sur les intrants chimiques</w:t>
      </w:r>
      <w:r w:rsidR="0077152B">
        <w:rPr>
          <w:rFonts w:ascii="Cambria" w:hAnsi="Cambria"/>
          <w:sz w:val="24"/>
          <w:szCs w:val="24"/>
        </w:rPr>
        <w:t>, la biotech</w:t>
      </w:r>
      <w:r w:rsidR="00DF1104">
        <w:rPr>
          <w:rFonts w:ascii="Cambria" w:hAnsi="Cambria"/>
          <w:sz w:val="24"/>
          <w:szCs w:val="24"/>
        </w:rPr>
        <w:t xml:space="preserve"> et les énergies fossiles.</w:t>
      </w:r>
    </w:p>
    <w:p w14:paraId="6DC9981D" w14:textId="77777777" w:rsidR="00DC26C3" w:rsidRDefault="00DC26C3" w:rsidP="0085018B">
      <w:pPr>
        <w:jc w:val="both"/>
        <w:rPr>
          <w:rFonts w:ascii="Cambria" w:hAnsi="Cambria"/>
          <w:sz w:val="24"/>
          <w:szCs w:val="24"/>
        </w:rPr>
      </w:pPr>
    </w:p>
    <w:p w14:paraId="502A2550" w14:textId="6D6D86CA" w:rsidR="00DC26C3" w:rsidRPr="00DC26C3" w:rsidRDefault="00DC26C3" w:rsidP="00DC26C3">
      <w:pPr>
        <w:jc w:val="both"/>
        <w:rPr>
          <w:rFonts w:ascii="Cambria" w:hAnsi="Cambria"/>
          <w:sz w:val="24"/>
          <w:szCs w:val="24"/>
        </w:rPr>
      </w:pPr>
      <w:r w:rsidRPr="00DC26C3">
        <w:rPr>
          <w:rFonts w:ascii="Cambria" w:hAnsi="Cambria"/>
          <w:sz w:val="24"/>
          <w:szCs w:val="24"/>
        </w:rPr>
        <w:t xml:space="preserve">Au-delà de la précaution juridique, certains penseurs </w:t>
      </w:r>
      <w:r w:rsidR="00831069">
        <w:rPr>
          <w:rFonts w:ascii="Cambria" w:hAnsi="Cambria"/>
          <w:sz w:val="24"/>
          <w:szCs w:val="24"/>
        </w:rPr>
        <w:t>avaie</w:t>
      </w:r>
      <w:r w:rsidRPr="00DC26C3">
        <w:rPr>
          <w:rFonts w:ascii="Cambria" w:hAnsi="Cambria"/>
          <w:sz w:val="24"/>
          <w:szCs w:val="24"/>
        </w:rPr>
        <w:t xml:space="preserve">nt proposé </w:t>
      </w:r>
      <w:r w:rsidRPr="00DC26C3">
        <w:rPr>
          <w:rFonts w:ascii="Cambria" w:hAnsi="Cambria"/>
          <w:b/>
          <w:bCs/>
          <w:sz w:val="24"/>
          <w:szCs w:val="24"/>
        </w:rPr>
        <w:t>une réflexion plus fondamentale sur la nature du risque</w:t>
      </w:r>
      <w:r w:rsidRPr="00DC26C3">
        <w:rPr>
          <w:rFonts w:ascii="Cambria" w:hAnsi="Cambria"/>
          <w:sz w:val="24"/>
          <w:szCs w:val="24"/>
        </w:rPr>
        <w:t xml:space="preserve">. François Ewald (1986) rappelait que le risque est moins une donnée objective qu’une construction sociale et politique : </w:t>
      </w:r>
      <w:r w:rsidRPr="0037491D">
        <w:rPr>
          <w:rFonts w:ascii="Cambria" w:hAnsi="Cambria"/>
          <w:b/>
          <w:bCs/>
          <w:sz w:val="24"/>
          <w:szCs w:val="24"/>
        </w:rPr>
        <w:t>définir un risque, c’est aussi définir ce qu’une société juge acceptable</w:t>
      </w:r>
      <w:r w:rsidRPr="00DC26C3">
        <w:rPr>
          <w:rFonts w:ascii="Cambria" w:hAnsi="Cambria"/>
          <w:sz w:val="24"/>
          <w:szCs w:val="24"/>
        </w:rPr>
        <w:t>. Hans Jonas (1979)</w:t>
      </w:r>
      <w:r w:rsidR="00500870">
        <w:rPr>
          <w:rStyle w:val="Appelnotedebasdep"/>
          <w:rFonts w:ascii="Cambria" w:hAnsi="Cambria"/>
          <w:sz w:val="24"/>
          <w:szCs w:val="24"/>
        </w:rPr>
        <w:footnoteReference w:id="4"/>
      </w:r>
      <w:r w:rsidRPr="00DC26C3">
        <w:rPr>
          <w:rFonts w:ascii="Cambria" w:hAnsi="Cambria"/>
          <w:sz w:val="24"/>
          <w:szCs w:val="24"/>
        </w:rPr>
        <w:t xml:space="preserve">, dans son </w:t>
      </w:r>
      <w:r w:rsidRPr="00DC26C3">
        <w:rPr>
          <w:rFonts w:ascii="Cambria" w:hAnsi="Cambria"/>
          <w:i/>
          <w:iCs/>
          <w:sz w:val="24"/>
          <w:szCs w:val="24"/>
        </w:rPr>
        <w:t>Principe responsabilité</w:t>
      </w:r>
      <w:r w:rsidRPr="00DC26C3">
        <w:rPr>
          <w:rFonts w:ascii="Cambria" w:hAnsi="Cambria"/>
          <w:sz w:val="24"/>
          <w:szCs w:val="24"/>
        </w:rPr>
        <w:t xml:space="preserve">, a prolongé cette réflexion en soulignant que les technologies modernes créent des menaces irréversibles qui engagent l’avenir de l’humanité elle-même. Selon lui, </w:t>
      </w:r>
      <w:r w:rsidRPr="00DC26C3">
        <w:rPr>
          <w:rFonts w:ascii="Cambria" w:hAnsi="Cambria"/>
          <w:b/>
          <w:bCs/>
          <w:sz w:val="24"/>
          <w:szCs w:val="24"/>
        </w:rPr>
        <w:t>il ne suffit plus de gérer les risques au coup par coup</w:t>
      </w:r>
      <w:r w:rsidRPr="00DC26C3">
        <w:rPr>
          <w:rFonts w:ascii="Cambria" w:hAnsi="Cambria"/>
          <w:sz w:val="24"/>
          <w:szCs w:val="24"/>
        </w:rPr>
        <w:t xml:space="preserve"> : il faut adopter une éthique de la responsabilité tournée vers les générations futures.</w:t>
      </w:r>
    </w:p>
    <w:p w14:paraId="7BE6461A" w14:textId="77777777" w:rsidR="00DC26C3" w:rsidRPr="00DC26C3" w:rsidRDefault="00DC26C3" w:rsidP="00DC26C3">
      <w:pPr>
        <w:jc w:val="both"/>
        <w:rPr>
          <w:rFonts w:ascii="Cambria" w:hAnsi="Cambria"/>
          <w:sz w:val="24"/>
          <w:szCs w:val="24"/>
        </w:rPr>
      </w:pPr>
    </w:p>
    <w:p w14:paraId="648E7E8D" w14:textId="652780FB" w:rsidR="00303A67" w:rsidRDefault="00303A67" w:rsidP="00F33D26">
      <w:pPr>
        <w:jc w:val="both"/>
        <w:rPr>
          <w:rFonts w:ascii="Cambria" w:hAnsi="Cambria"/>
          <w:sz w:val="24"/>
          <w:szCs w:val="24"/>
        </w:rPr>
      </w:pPr>
      <w:r>
        <w:rPr>
          <w:rFonts w:ascii="Cambria" w:hAnsi="Cambria"/>
          <w:sz w:val="24"/>
          <w:szCs w:val="24"/>
        </w:rPr>
        <w:t>Ainsi, c</w:t>
      </w:r>
      <w:r w:rsidRPr="00303A67">
        <w:rPr>
          <w:rFonts w:ascii="Cambria" w:hAnsi="Cambria"/>
          <w:sz w:val="24"/>
          <w:szCs w:val="24"/>
        </w:rPr>
        <w:t>ette étude part d’un constat : les transformations agricoles et technologiques du XXᵉ siècle ont déplacé la question du risque.</w:t>
      </w:r>
      <w:r>
        <w:rPr>
          <w:rFonts w:ascii="Cambria" w:hAnsi="Cambria"/>
          <w:sz w:val="24"/>
          <w:szCs w:val="24"/>
        </w:rPr>
        <w:t xml:space="preserve"> Notre</w:t>
      </w:r>
      <w:r w:rsidRPr="00303A67">
        <w:rPr>
          <w:rFonts w:ascii="Cambria" w:hAnsi="Cambria"/>
          <w:sz w:val="24"/>
          <w:szCs w:val="24"/>
        </w:rPr>
        <w:t xml:space="preserve"> société</w:t>
      </w:r>
      <w:r>
        <w:rPr>
          <w:rFonts w:ascii="Cambria" w:hAnsi="Cambria"/>
          <w:sz w:val="24"/>
          <w:szCs w:val="24"/>
        </w:rPr>
        <w:t xml:space="preserve"> es</w:t>
      </w:r>
      <w:r w:rsidRPr="00303A67">
        <w:rPr>
          <w:rFonts w:ascii="Cambria" w:hAnsi="Cambria"/>
          <w:sz w:val="24"/>
          <w:szCs w:val="24"/>
        </w:rPr>
        <w:t xml:space="preserve">t désormais confrontée à des risques </w:t>
      </w:r>
      <w:r w:rsidRPr="00303A67">
        <w:rPr>
          <w:rFonts w:ascii="Cambria" w:hAnsi="Cambria"/>
          <w:b/>
          <w:bCs/>
          <w:sz w:val="24"/>
          <w:szCs w:val="24"/>
        </w:rPr>
        <w:t>sanitaires, environnementaux et technologiques</w:t>
      </w:r>
      <w:r w:rsidRPr="00303A67">
        <w:rPr>
          <w:rFonts w:ascii="Cambria" w:hAnsi="Cambria"/>
          <w:sz w:val="24"/>
          <w:szCs w:val="24"/>
        </w:rPr>
        <w:t xml:space="preserve"> issus de l’industrialisation agricole et de l’usage massif d’intrants chimiques et biotechnologiques</w:t>
      </w:r>
      <w:r w:rsidR="0020500E">
        <w:rPr>
          <w:rFonts w:ascii="Cambria" w:hAnsi="Cambria"/>
          <w:sz w:val="24"/>
          <w:szCs w:val="24"/>
        </w:rPr>
        <w:t xml:space="preserve"> </w:t>
      </w:r>
      <w:r w:rsidR="0020500E" w:rsidRPr="0020500E">
        <w:rPr>
          <w:rFonts w:ascii="Cambria" w:hAnsi="Cambria"/>
          <w:sz w:val="24"/>
          <w:szCs w:val="24"/>
        </w:rPr>
        <w:t>qui engagent non seulement la santé des agriculteurs mais celle des populations dans leur ensemble, ainsi que l’équilibre des écosystèmes</w:t>
      </w:r>
      <w:r w:rsidRPr="00303A67">
        <w:rPr>
          <w:rFonts w:ascii="Cambria" w:hAnsi="Cambria"/>
          <w:sz w:val="24"/>
          <w:szCs w:val="24"/>
        </w:rPr>
        <w:t>.</w:t>
      </w:r>
    </w:p>
    <w:p w14:paraId="119F6339" w14:textId="77777777" w:rsidR="00303A67" w:rsidRDefault="00303A67" w:rsidP="00F33D26">
      <w:pPr>
        <w:jc w:val="both"/>
        <w:rPr>
          <w:rFonts w:ascii="Cambria" w:hAnsi="Cambria"/>
          <w:sz w:val="24"/>
          <w:szCs w:val="24"/>
        </w:rPr>
      </w:pPr>
    </w:p>
    <w:p w14:paraId="516EC191" w14:textId="63604A42" w:rsidR="00303A67" w:rsidRPr="00F33D26" w:rsidRDefault="00303A67" w:rsidP="00303A67">
      <w:pPr>
        <w:jc w:val="both"/>
        <w:rPr>
          <w:rFonts w:ascii="Cambria" w:hAnsi="Cambria"/>
          <w:sz w:val="24"/>
          <w:szCs w:val="24"/>
        </w:rPr>
      </w:pPr>
      <w:r w:rsidRPr="00303A67">
        <w:rPr>
          <w:rFonts w:ascii="Cambria" w:hAnsi="Cambria"/>
          <w:sz w:val="24"/>
          <w:szCs w:val="24"/>
        </w:rPr>
        <w:t xml:space="preserve">Parmi ces risques, </w:t>
      </w:r>
      <w:r w:rsidRPr="00C56CA9">
        <w:rPr>
          <w:rFonts w:ascii="Cambria" w:hAnsi="Cambria"/>
          <w:b/>
          <w:bCs/>
          <w:sz w:val="24"/>
          <w:szCs w:val="24"/>
        </w:rPr>
        <w:t>la question des pesticides est emblématique</w:t>
      </w:r>
      <w:r w:rsidR="00C56CA9">
        <w:rPr>
          <w:rFonts w:ascii="Cambria" w:hAnsi="Cambria"/>
          <w:b/>
          <w:bCs/>
          <w:sz w:val="24"/>
          <w:szCs w:val="24"/>
        </w:rPr>
        <w:t xml:space="preserve"> de ces nouveaux risques engendrés par l’adoption de l’agriculture industrielle</w:t>
      </w:r>
      <w:r w:rsidRPr="00303A67">
        <w:rPr>
          <w:rFonts w:ascii="Cambria" w:hAnsi="Cambria"/>
          <w:sz w:val="24"/>
          <w:szCs w:val="24"/>
        </w:rPr>
        <w:t xml:space="preserve">. Elle révèle à la fois la difficulté d’évaluer scientifiquement des effets chroniques et diffus, la controverse sur l’acceptabilité des dommages, et les tensions entre promesses de productivité et impératifs de précaution. </w:t>
      </w:r>
      <w:r>
        <w:rPr>
          <w:rFonts w:ascii="Cambria" w:hAnsi="Cambria"/>
          <w:sz w:val="24"/>
          <w:szCs w:val="24"/>
        </w:rPr>
        <w:t xml:space="preserve">En effet, la </w:t>
      </w:r>
      <w:r w:rsidR="008E5D15">
        <w:rPr>
          <w:rFonts w:ascii="Cambria" w:hAnsi="Cambria"/>
          <w:sz w:val="24"/>
          <w:szCs w:val="24"/>
        </w:rPr>
        <w:t>problématique</w:t>
      </w:r>
      <w:r>
        <w:rPr>
          <w:rFonts w:ascii="Cambria" w:hAnsi="Cambria"/>
          <w:sz w:val="24"/>
          <w:szCs w:val="24"/>
        </w:rPr>
        <w:t xml:space="preserve"> des pesticides </w:t>
      </w:r>
      <w:r w:rsidRPr="00F33D26">
        <w:rPr>
          <w:rFonts w:ascii="Cambria" w:hAnsi="Cambria"/>
          <w:sz w:val="24"/>
          <w:szCs w:val="24"/>
        </w:rPr>
        <w:t xml:space="preserve">nous paraît </w:t>
      </w:r>
      <w:r w:rsidR="008E5D15">
        <w:rPr>
          <w:rFonts w:ascii="Cambria" w:hAnsi="Cambria"/>
          <w:sz w:val="24"/>
          <w:szCs w:val="24"/>
        </w:rPr>
        <w:t xml:space="preserve">un exemple </w:t>
      </w:r>
      <w:r w:rsidRPr="00F33D26">
        <w:rPr>
          <w:rFonts w:ascii="Cambria" w:hAnsi="Cambria"/>
          <w:sz w:val="24"/>
          <w:szCs w:val="24"/>
        </w:rPr>
        <w:t xml:space="preserve">particulièrement intéressant à développer ici pour plusieurs raisons : </w:t>
      </w:r>
    </w:p>
    <w:p w14:paraId="2104B616" w14:textId="4FC988F6" w:rsidR="00303A67" w:rsidRPr="00F33D26" w:rsidRDefault="00303A67" w:rsidP="00303A67">
      <w:pPr>
        <w:pStyle w:val="Paragraphedeliste"/>
        <w:numPr>
          <w:ilvl w:val="0"/>
          <w:numId w:val="3"/>
        </w:numPr>
        <w:spacing w:before="40"/>
        <w:ind w:left="284" w:hanging="284"/>
        <w:contextualSpacing w:val="0"/>
        <w:jc w:val="both"/>
        <w:rPr>
          <w:rFonts w:ascii="Cambria" w:hAnsi="Cambria"/>
          <w:sz w:val="24"/>
          <w:szCs w:val="24"/>
        </w:rPr>
      </w:pPr>
      <w:r w:rsidRPr="00F33D26">
        <w:rPr>
          <w:rFonts w:ascii="Cambria" w:hAnsi="Cambria"/>
          <w:sz w:val="24"/>
          <w:szCs w:val="24"/>
        </w:rPr>
        <w:t xml:space="preserve">Elle nous interroge sur </w:t>
      </w:r>
      <w:r w:rsidRPr="00F33D26">
        <w:rPr>
          <w:rFonts w:ascii="Cambria" w:hAnsi="Cambria"/>
          <w:b/>
          <w:bCs/>
          <w:sz w:val="24"/>
          <w:szCs w:val="24"/>
        </w:rPr>
        <w:t>la difficulté d’appréhender valablement les risques</w:t>
      </w:r>
      <w:r w:rsidRPr="00F33D26">
        <w:rPr>
          <w:rFonts w:ascii="Cambria" w:hAnsi="Cambria"/>
          <w:sz w:val="24"/>
          <w:szCs w:val="24"/>
        </w:rPr>
        <w:t xml:space="preserve"> liés à leur emploi</w:t>
      </w:r>
      <w:r w:rsidR="00161FC7">
        <w:rPr>
          <w:rFonts w:ascii="Cambria" w:hAnsi="Cambria"/>
          <w:sz w:val="24"/>
          <w:szCs w:val="24"/>
        </w:rPr>
        <w:t xml:space="preserve"> </w:t>
      </w:r>
      <w:r w:rsidR="008E5D15">
        <w:rPr>
          <w:rFonts w:ascii="Cambria" w:hAnsi="Cambria"/>
          <w:sz w:val="24"/>
          <w:szCs w:val="24"/>
        </w:rPr>
        <w:t>(en témoignent les effets négatifs observés des années après leur mise sur le marché)</w:t>
      </w:r>
      <w:r w:rsidRPr="00F33D26">
        <w:rPr>
          <w:rFonts w:ascii="Cambria" w:hAnsi="Cambria"/>
          <w:sz w:val="24"/>
          <w:szCs w:val="24"/>
        </w:rPr>
        <w:t xml:space="preserve">. </w:t>
      </w:r>
    </w:p>
    <w:p w14:paraId="4CCA3EBC" w14:textId="77777777" w:rsidR="00303A67" w:rsidRPr="00F33D26" w:rsidRDefault="00303A67" w:rsidP="00303A67">
      <w:pPr>
        <w:pStyle w:val="Paragraphedeliste"/>
        <w:numPr>
          <w:ilvl w:val="0"/>
          <w:numId w:val="3"/>
        </w:numPr>
        <w:spacing w:before="40"/>
        <w:ind w:left="284" w:hanging="284"/>
        <w:contextualSpacing w:val="0"/>
        <w:jc w:val="both"/>
        <w:rPr>
          <w:rFonts w:ascii="Cambria" w:hAnsi="Cambria"/>
          <w:sz w:val="24"/>
          <w:szCs w:val="24"/>
        </w:rPr>
      </w:pPr>
      <w:r w:rsidRPr="00F33D26">
        <w:rPr>
          <w:rFonts w:ascii="Cambria" w:hAnsi="Cambria"/>
          <w:sz w:val="24"/>
          <w:szCs w:val="24"/>
        </w:rPr>
        <w:lastRenderedPageBreak/>
        <w:t xml:space="preserve">Elle nous renvoie à </w:t>
      </w:r>
      <w:r w:rsidRPr="00F33D26">
        <w:rPr>
          <w:rFonts w:ascii="Cambria" w:hAnsi="Cambria"/>
          <w:b/>
          <w:bCs/>
          <w:sz w:val="24"/>
          <w:szCs w:val="24"/>
        </w:rPr>
        <w:t>la notion d’acceptabilité du risque</w:t>
      </w:r>
      <w:r w:rsidRPr="00F33D26">
        <w:rPr>
          <w:rFonts w:ascii="Cambria" w:hAnsi="Cambria"/>
          <w:sz w:val="24"/>
          <w:szCs w:val="24"/>
        </w:rPr>
        <w:t xml:space="preserve">, basée avant tout sur une balance bénéfices-risques favorable, et donc finalement à la place du risque dans notre société technologique (voire dirons certains, à la place du scientifique ou de la science dans la prise de décision). </w:t>
      </w:r>
    </w:p>
    <w:p w14:paraId="05D59CD9" w14:textId="7C49FF49" w:rsidR="00303A67" w:rsidRPr="00F33D26" w:rsidRDefault="00303A67" w:rsidP="00303A67">
      <w:pPr>
        <w:pStyle w:val="Paragraphedeliste"/>
        <w:numPr>
          <w:ilvl w:val="0"/>
          <w:numId w:val="3"/>
        </w:numPr>
        <w:spacing w:before="40"/>
        <w:ind w:left="284" w:hanging="284"/>
        <w:contextualSpacing w:val="0"/>
        <w:jc w:val="both"/>
        <w:rPr>
          <w:rFonts w:ascii="Cambria" w:hAnsi="Cambria"/>
          <w:sz w:val="24"/>
          <w:szCs w:val="24"/>
        </w:rPr>
      </w:pPr>
      <w:r w:rsidRPr="00F33D26">
        <w:rPr>
          <w:rFonts w:ascii="Cambria" w:hAnsi="Cambria"/>
          <w:sz w:val="24"/>
          <w:szCs w:val="24"/>
        </w:rPr>
        <w:t xml:space="preserve">Elle démontre enfin que </w:t>
      </w:r>
      <w:r w:rsidRPr="00BA5075">
        <w:rPr>
          <w:rFonts w:ascii="Cambria" w:hAnsi="Cambria"/>
          <w:sz w:val="24"/>
          <w:szCs w:val="24"/>
        </w:rPr>
        <w:t>cette</w:t>
      </w:r>
      <w:r w:rsidRPr="00F33D26">
        <w:rPr>
          <w:rFonts w:ascii="Cambria" w:hAnsi="Cambria"/>
          <w:b/>
          <w:bCs/>
          <w:sz w:val="24"/>
          <w:szCs w:val="24"/>
        </w:rPr>
        <w:t xml:space="preserve"> balance « bénéfices-risques » peut évoluer dans le temps</w:t>
      </w:r>
      <w:r w:rsidR="00B36B65">
        <w:rPr>
          <w:rFonts w:ascii="Cambria" w:hAnsi="Cambria"/>
          <w:sz w:val="24"/>
          <w:szCs w:val="24"/>
        </w:rPr>
        <w:t xml:space="preserve"> </w:t>
      </w:r>
      <w:r w:rsidR="00B36B65" w:rsidRPr="00B36B65">
        <w:rPr>
          <w:rFonts w:ascii="Cambria" w:hAnsi="Cambria"/>
          <w:sz w:val="24"/>
          <w:szCs w:val="24"/>
        </w:rPr>
        <w:t>(</w:t>
      </w:r>
      <w:r w:rsidR="00B36B65">
        <w:rPr>
          <w:rFonts w:ascii="Cambria" w:hAnsi="Cambria"/>
          <w:sz w:val="24"/>
          <w:szCs w:val="24"/>
        </w:rPr>
        <w:t>l</w:t>
      </w:r>
      <w:r w:rsidR="00B36B65" w:rsidRPr="00B36B65">
        <w:rPr>
          <w:rFonts w:ascii="Cambria" w:hAnsi="Cambria"/>
          <w:sz w:val="24"/>
          <w:szCs w:val="24"/>
        </w:rPr>
        <w:t xml:space="preserve">’inventeur du DDT, le chimiste suisse Paul Hermann Müller, </w:t>
      </w:r>
      <w:r w:rsidR="00B36B65">
        <w:rPr>
          <w:rFonts w:ascii="Cambria" w:hAnsi="Cambria"/>
          <w:sz w:val="24"/>
          <w:szCs w:val="24"/>
        </w:rPr>
        <w:t>n’a-t-il pas</w:t>
      </w:r>
      <w:r w:rsidR="00B36B65" w:rsidRPr="00B36B65">
        <w:rPr>
          <w:rFonts w:ascii="Cambria" w:hAnsi="Cambria"/>
          <w:sz w:val="24"/>
          <w:szCs w:val="24"/>
        </w:rPr>
        <w:t xml:space="preserve"> reçu </w:t>
      </w:r>
      <w:r w:rsidR="00B36B65">
        <w:rPr>
          <w:rFonts w:ascii="Cambria" w:hAnsi="Cambria"/>
          <w:sz w:val="24"/>
          <w:szCs w:val="24"/>
        </w:rPr>
        <w:t xml:space="preserve">en 1948 </w:t>
      </w:r>
      <w:r w:rsidR="00B36B65" w:rsidRPr="00B36B65">
        <w:rPr>
          <w:rFonts w:ascii="Cambria" w:hAnsi="Cambria"/>
          <w:sz w:val="24"/>
          <w:szCs w:val="24"/>
        </w:rPr>
        <w:t>un prix Nobel</w:t>
      </w:r>
      <w:r w:rsidR="00B36B65">
        <w:rPr>
          <w:rFonts w:ascii="Cambria" w:hAnsi="Cambria"/>
          <w:sz w:val="24"/>
          <w:szCs w:val="24"/>
        </w:rPr>
        <w:t> ?)</w:t>
      </w:r>
      <w:r w:rsidR="00B36B65" w:rsidRPr="00B36B65">
        <w:rPr>
          <w:rFonts w:ascii="Cambria" w:hAnsi="Cambria"/>
          <w:sz w:val="24"/>
          <w:szCs w:val="24"/>
        </w:rPr>
        <w:t>.</w:t>
      </w:r>
    </w:p>
    <w:p w14:paraId="44FE8518" w14:textId="77777777" w:rsidR="00303A67" w:rsidRDefault="00303A67" w:rsidP="00303A67">
      <w:pPr>
        <w:jc w:val="both"/>
        <w:rPr>
          <w:rFonts w:ascii="Cambria" w:hAnsi="Cambria"/>
          <w:sz w:val="24"/>
          <w:szCs w:val="24"/>
        </w:rPr>
      </w:pPr>
    </w:p>
    <w:p w14:paraId="288D5DC8" w14:textId="3DAD4D2A" w:rsidR="00303A67" w:rsidRDefault="00303A67" w:rsidP="00F33D26">
      <w:pPr>
        <w:jc w:val="both"/>
        <w:rPr>
          <w:rFonts w:ascii="Cambria" w:hAnsi="Cambria"/>
          <w:sz w:val="24"/>
          <w:szCs w:val="24"/>
        </w:rPr>
      </w:pPr>
      <w:r w:rsidRPr="00303A67">
        <w:rPr>
          <w:rFonts w:ascii="Cambria" w:hAnsi="Cambria"/>
          <w:sz w:val="24"/>
          <w:szCs w:val="24"/>
        </w:rPr>
        <w:t>Deux interrogations centrales guide</w:t>
      </w:r>
      <w:r>
        <w:rPr>
          <w:rFonts w:ascii="Cambria" w:hAnsi="Cambria"/>
          <w:sz w:val="24"/>
          <w:szCs w:val="24"/>
        </w:rPr>
        <w:t>ro</w:t>
      </w:r>
      <w:r w:rsidRPr="00303A67">
        <w:rPr>
          <w:rFonts w:ascii="Cambria" w:hAnsi="Cambria"/>
          <w:sz w:val="24"/>
          <w:szCs w:val="24"/>
        </w:rPr>
        <w:t xml:space="preserve">nt dès lors notre </w:t>
      </w:r>
      <w:r>
        <w:rPr>
          <w:rFonts w:ascii="Cambria" w:hAnsi="Cambria"/>
          <w:sz w:val="24"/>
          <w:szCs w:val="24"/>
        </w:rPr>
        <w:t>réflexion</w:t>
      </w:r>
      <w:r w:rsidRPr="00303A67">
        <w:rPr>
          <w:rFonts w:ascii="Cambria" w:hAnsi="Cambria"/>
          <w:sz w:val="24"/>
          <w:szCs w:val="24"/>
        </w:rPr>
        <w:t xml:space="preserve"> :</w:t>
      </w:r>
    </w:p>
    <w:p w14:paraId="2DB06514" w14:textId="0B160394" w:rsidR="00A22CC4" w:rsidRPr="00A22CC4" w:rsidRDefault="00303A67" w:rsidP="00A22CC4">
      <w:pPr>
        <w:pStyle w:val="Paragraphedeliste"/>
        <w:numPr>
          <w:ilvl w:val="0"/>
          <w:numId w:val="7"/>
        </w:numPr>
        <w:spacing w:before="40"/>
        <w:ind w:left="357" w:hanging="357"/>
        <w:contextualSpacing w:val="0"/>
        <w:jc w:val="both"/>
        <w:rPr>
          <w:rFonts w:ascii="Cambria" w:hAnsi="Cambria"/>
          <w:sz w:val="24"/>
          <w:szCs w:val="24"/>
        </w:rPr>
      </w:pPr>
      <w:r>
        <w:rPr>
          <w:rFonts w:ascii="Cambria" w:hAnsi="Cambria"/>
          <w:sz w:val="24"/>
          <w:szCs w:val="24"/>
        </w:rPr>
        <w:t>Quel est</w:t>
      </w:r>
      <w:r w:rsidR="00A22CC4" w:rsidRPr="00A22CC4">
        <w:rPr>
          <w:rFonts w:ascii="Cambria" w:hAnsi="Cambria"/>
          <w:sz w:val="24"/>
          <w:szCs w:val="24"/>
        </w:rPr>
        <w:t xml:space="preserve"> </w:t>
      </w:r>
      <w:r>
        <w:rPr>
          <w:rFonts w:ascii="Cambria" w:hAnsi="Cambria"/>
          <w:sz w:val="24"/>
          <w:szCs w:val="24"/>
        </w:rPr>
        <w:t>ce</w:t>
      </w:r>
      <w:r w:rsidR="00A22CC4" w:rsidRPr="00A22CC4">
        <w:rPr>
          <w:rFonts w:ascii="Cambria" w:hAnsi="Cambria"/>
          <w:sz w:val="24"/>
          <w:szCs w:val="24"/>
        </w:rPr>
        <w:t xml:space="preserve"> risque ? Est-il une donnée objective, mesurable par </w:t>
      </w:r>
      <w:r w:rsidR="00A22CC4">
        <w:rPr>
          <w:rFonts w:ascii="Cambria" w:hAnsi="Cambria"/>
          <w:sz w:val="24"/>
          <w:szCs w:val="24"/>
        </w:rPr>
        <w:t>une approche scientifique</w:t>
      </w:r>
      <w:r w:rsidR="00A22CC4" w:rsidRPr="00A22CC4">
        <w:rPr>
          <w:rFonts w:ascii="Cambria" w:hAnsi="Cambria"/>
          <w:sz w:val="24"/>
          <w:szCs w:val="24"/>
        </w:rPr>
        <w:t>, ou bien une construction sociale et culturelle qui dépend des représentations collectives ?</w:t>
      </w:r>
    </w:p>
    <w:p w14:paraId="53DC9A0C" w14:textId="4F3B8379" w:rsidR="00A22CC4" w:rsidRPr="00A22CC4" w:rsidRDefault="00A22CC4" w:rsidP="00A22CC4">
      <w:pPr>
        <w:pStyle w:val="Paragraphedeliste"/>
        <w:numPr>
          <w:ilvl w:val="0"/>
          <w:numId w:val="7"/>
        </w:numPr>
        <w:spacing w:before="40"/>
        <w:ind w:left="357" w:hanging="357"/>
        <w:contextualSpacing w:val="0"/>
        <w:jc w:val="both"/>
        <w:rPr>
          <w:rFonts w:ascii="Cambria" w:hAnsi="Cambria"/>
          <w:sz w:val="24"/>
          <w:szCs w:val="24"/>
        </w:rPr>
      </w:pPr>
      <w:r w:rsidRPr="00A22CC4">
        <w:rPr>
          <w:rFonts w:ascii="Cambria" w:hAnsi="Cambria"/>
          <w:sz w:val="24"/>
          <w:szCs w:val="24"/>
        </w:rPr>
        <w:t xml:space="preserve">Comment </w:t>
      </w:r>
      <w:r>
        <w:rPr>
          <w:rFonts w:ascii="Cambria" w:hAnsi="Cambria"/>
          <w:sz w:val="24"/>
          <w:szCs w:val="24"/>
        </w:rPr>
        <w:t>c</w:t>
      </w:r>
      <w:r w:rsidRPr="00A22CC4">
        <w:rPr>
          <w:rFonts w:ascii="Cambria" w:hAnsi="Cambria"/>
          <w:sz w:val="24"/>
          <w:szCs w:val="24"/>
        </w:rPr>
        <w:t>e risque est-il géré</w:t>
      </w:r>
      <w:r>
        <w:rPr>
          <w:rFonts w:ascii="Cambria" w:hAnsi="Cambria"/>
          <w:sz w:val="24"/>
          <w:szCs w:val="24"/>
        </w:rPr>
        <w:t xml:space="preserve"> </w:t>
      </w:r>
      <w:r w:rsidRPr="00A22CC4">
        <w:rPr>
          <w:rFonts w:ascii="Cambria" w:hAnsi="Cambria"/>
          <w:sz w:val="24"/>
          <w:szCs w:val="24"/>
        </w:rPr>
        <w:t>? Quels sont les dispositifs scientifiques, institutionnels et politiques mis en place pour l’évaluer, le réguler ou l’accepter</w:t>
      </w:r>
      <w:r>
        <w:rPr>
          <w:rFonts w:ascii="Cambria" w:hAnsi="Cambria"/>
          <w:sz w:val="24"/>
          <w:szCs w:val="24"/>
        </w:rPr>
        <w:t> ? Q</w:t>
      </w:r>
      <w:r w:rsidRPr="00A22CC4">
        <w:rPr>
          <w:rFonts w:ascii="Cambria" w:hAnsi="Cambria"/>
          <w:sz w:val="24"/>
          <w:szCs w:val="24"/>
        </w:rPr>
        <w:t xml:space="preserve">uelles tensions apparaissent entre </w:t>
      </w:r>
      <w:r>
        <w:rPr>
          <w:rFonts w:ascii="Cambria" w:hAnsi="Cambria"/>
          <w:sz w:val="24"/>
          <w:szCs w:val="24"/>
        </w:rPr>
        <w:t>souhait d’</w:t>
      </w:r>
      <w:r w:rsidRPr="00A22CC4">
        <w:rPr>
          <w:rFonts w:ascii="Cambria" w:hAnsi="Cambria"/>
          <w:sz w:val="24"/>
          <w:szCs w:val="24"/>
        </w:rPr>
        <w:t xml:space="preserve">innovation, </w:t>
      </w:r>
      <w:r>
        <w:rPr>
          <w:rFonts w:ascii="Cambria" w:hAnsi="Cambria"/>
          <w:sz w:val="24"/>
          <w:szCs w:val="24"/>
        </w:rPr>
        <w:t xml:space="preserve">principe de </w:t>
      </w:r>
      <w:r w:rsidRPr="00A22CC4">
        <w:rPr>
          <w:rFonts w:ascii="Cambria" w:hAnsi="Cambria"/>
          <w:sz w:val="24"/>
          <w:szCs w:val="24"/>
        </w:rPr>
        <w:t>précaution et responsabilité envers les générations futures ?</w:t>
      </w:r>
    </w:p>
    <w:p w14:paraId="7309678E" w14:textId="77777777" w:rsidR="00303A67" w:rsidRDefault="00303A67" w:rsidP="00A22CC4">
      <w:pPr>
        <w:spacing w:before="40"/>
        <w:jc w:val="both"/>
        <w:rPr>
          <w:rFonts w:ascii="Cambria" w:hAnsi="Cambria"/>
          <w:sz w:val="24"/>
          <w:szCs w:val="24"/>
        </w:rPr>
      </w:pPr>
    </w:p>
    <w:p w14:paraId="43877F59" w14:textId="4D272D80" w:rsidR="00A22CC4" w:rsidRDefault="00DC26C3" w:rsidP="00303A67">
      <w:pPr>
        <w:jc w:val="both"/>
        <w:rPr>
          <w:rFonts w:ascii="Cambria" w:hAnsi="Cambria"/>
          <w:sz w:val="24"/>
          <w:szCs w:val="24"/>
        </w:rPr>
      </w:pPr>
      <w:r w:rsidRPr="00DC26C3">
        <w:rPr>
          <w:rFonts w:ascii="Cambria" w:hAnsi="Cambria"/>
          <w:sz w:val="24"/>
          <w:szCs w:val="24"/>
        </w:rPr>
        <w:t xml:space="preserve">Nous examinerons </w:t>
      </w:r>
      <w:r w:rsidR="00A22CC4">
        <w:rPr>
          <w:rFonts w:ascii="Cambria" w:hAnsi="Cambria"/>
          <w:sz w:val="24"/>
          <w:szCs w:val="24"/>
        </w:rPr>
        <w:t xml:space="preserve">donc </w:t>
      </w:r>
      <w:r w:rsidRPr="00DC26C3">
        <w:rPr>
          <w:rFonts w:ascii="Cambria" w:hAnsi="Cambria"/>
          <w:sz w:val="24"/>
          <w:szCs w:val="24"/>
        </w:rPr>
        <w:t xml:space="preserve">d’abord comment </w:t>
      </w:r>
      <w:r w:rsidR="00CC457C">
        <w:rPr>
          <w:rFonts w:ascii="Cambria" w:hAnsi="Cambria"/>
          <w:sz w:val="24"/>
          <w:szCs w:val="24"/>
        </w:rPr>
        <w:t>le risque</w:t>
      </w:r>
      <w:r w:rsidRPr="00DC26C3">
        <w:rPr>
          <w:rFonts w:ascii="Cambria" w:hAnsi="Cambria"/>
          <w:sz w:val="24"/>
          <w:szCs w:val="24"/>
        </w:rPr>
        <w:t xml:space="preserve"> est défini</w:t>
      </w:r>
      <w:r w:rsidR="00A22CC4">
        <w:rPr>
          <w:rFonts w:ascii="Cambria" w:hAnsi="Cambria"/>
          <w:sz w:val="24"/>
          <w:szCs w:val="24"/>
        </w:rPr>
        <w:t>, évalué</w:t>
      </w:r>
      <w:r w:rsidRPr="00DC26C3">
        <w:rPr>
          <w:rFonts w:ascii="Cambria" w:hAnsi="Cambria"/>
          <w:sz w:val="24"/>
          <w:szCs w:val="24"/>
        </w:rPr>
        <w:t xml:space="preserve"> et conceptualisé, puis comment il est perçu et représenté socialement, </w:t>
      </w:r>
      <w:r w:rsidR="00A22CC4">
        <w:rPr>
          <w:rFonts w:ascii="Cambria" w:hAnsi="Cambria"/>
          <w:sz w:val="24"/>
          <w:szCs w:val="24"/>
        </w:rPr>
        <w:t>pour enfin aborder les notions d’acceptabilité et de gestion du risque</w:t>
      </w:r>
      <w:r w:rsidRPr="00DC26C3">
        <w:rPr>
          <w:rFonts w:ascii="Cambria" w:hAnsi="Cambria"/>
          <w:sz w:val="24"/>
          <w:szCs w:val="24"/>
        </w:rPr>
        <w:t>.</w:t>
      </w:r>
      <w:r w:rsidR="00F33D26">
        <w:rPr>
          <w:rFonts w:ascii="Cambria" w:hAnsi="Cambria"/>
          <w:sz w:val="24"/>
          <w:szCs w:val="24"/>
        </w:rPr>
        <w:t xml:space="preserve"> </w:t>
      </w:r>
    </w:p>
    <w:p w14:paraId="71283192" w14:textId="77777777" w:rsidR="004D204B" w:rsidRDefault="004D204B" w:rsidP="00777EE5">
      <w:pPr>
        <w:jc w:val="both"/>
        <w:rPr>
          <w:rFonts w:ascii="Cambria" w:hAnsi="Cambria"/>
          <w:sz w:val="28"/>
          <w:szCs w:val="28"/>
        </w:rPr>
      </w:pPr>
    </w:p>
    <w:p w14:paraId="3C2C95D9" w14:textId="55152816" w:rsidR="003E2E16" w:rsidRDefault="003E2E16" w:rsidP="003E2E16">
      <w:pPr>
        <w:jc w:val="both"/>
        <w:rPr>
          <w:rFonts w:ascii="Cambria" w:hAnsi="Cambria"/>
          <w:b/>
          <w:bCs/>
          <w:color w:val="80340D" w:themeColor="accent2" w:themeShade="80"/>
          <w:sz w:val="32"/>
          <w:szCs w:val="32"/>
        </w:rPr>
      </w:pPr>
      <w:r>
        <w:rPr>
          <w:rFonts w:ascii="Cambria" w:hAnsi="Cambria"/>
          <w:b/>
          <w:bCs/>
          <w:color w:val="80340D" w:themeColor="accent2" w:themeShade="80"/>
          <w:sz w:val="32"/>
          <w:szCs w:val="32"/>
        </w:rPr>
        <w:t xml:space="preserve">Définition et évaluation </w:t>
      </w:r>
      <w:r w:rsidRPr="00FB34B1">
        <w:rPr>
          <w:rFonts w:ascii="Cambria" w:hAnsi="Cambria"/>
          <w:b/>
          <w:bCs/>
          <w:color w:val="80340D" w:themeColor="accent2" w:themeShade="80"/>
          <w:sz w:val="32"/>
          <w:szCs w:val="32"/>
        </w:rPr>
        <w:t>du risque</w:t>
      </w:r>
    </w:p>
    <w:p w14:paraId="37ED00A7" w14:textId="77777777" w:rsidR="003E2E16" w:rsidRPr="00B12E7A" w:rsidRDefault="003E2E16" w:rsidP="00777EE5">
      <w:pPr>
        <w:jc w:val="both"/>
        <w:rPr>
          <w:rFonts w:ascii="Cambria" w:hAnsi="Cambria"/>
          <w:sz w:val="24"/>
          <w:szCs w:val="24"/>
        </w:rPr>
      </w:pPr>
    </w:p>
    <w:p w14:paraId="7B1BA398" w14:textId="249B2B2D" w:rsidR="00B12E7A" w:rsidRPr="00B12E7A" w:rsidRDefault="00B12E7A" w:rsidP="00777EE5">
      <w:pPr>
        <w:jc w:val="both"/>
        <w:rPr>
          <w:rFonts w:ascii="Cambria" w:hAnsi="Cambria"/>
          <w:b/>
          <w:bCs/>
          <w:color w:val="80340D" w:themeColor="accent2" w:themeShade="80"/>
          <w:sz w:val="32"/>
          <w:szCs w:val="32"/>
        </w:rPr>
      </w:pPr>
      <w:r w:rsidRPr="00B12E7A">
        <w:rPr>
          <w:rFonts w:ascii="Cambria" w:hAnsi="Cambria"/>
          <w:b/>
          <w:bCs/>
          <w:color w:val="80340D" w:themeColor="accent2" w:themeShade="80"/>
          <w:sz w:val="32"/>
          <w:szCs w:val="32"/>
        </w:rPr>
        <w:t>Perception du risque</w:t>
      </w:r>
    </w:p>
    <w:p w14:paraId="5B5502FC" w14:textId="77777777" w:rsidR="00265183" w:rsidRPr="00265183" w:rsidRDefault="00265183" w:rsidP="00265183">
      <w:pPr>
        <w:jc w:val="both"/>
        <w:rPr>
          <w:rFonts w:ascii="Cambria" w:hAnsi="Cambria"/>
          <w:sz w:val="24"/>
          <w:szCs w:val="24"/>
        </w:rPr>
      </w:pPr>
    </w:p>
    <w:p w14:paraId="676062B3" w14:textId="77777777" w:rsidR="00265183" w:rsidRPr="00265183" w:rsidRDefault="00265183" w:rsidP="00265183">
      <w:pPr>
        <w:rPr>
          <w:rFonts w:ascii="Cambria" w:hAnsi="Cambria"/>
          <w:b/>
          <w:bCs/>
          <w:color w:val="80340D" w:themeColor="accent2" w:themeShade="80"/>
          <w:sz w:val="24"/>
          <w:szCs w:val="24"/>
        </w:rPr>
      </w:pPr>
      <w:r w:rsidRPr="00265183">
        <w:rPr>
          <w:rFonts w:ascii="Cambria" w:hAnsi="Cambria"/>
          <w:b/>
          <w:bCs/>
          <w:color w:val="80340D" w:themeColor="accent2" w:themeShade="80"/>
          <w:sz w:val="24"/>
          <w:szCs w:val="24"/>
        </w:rPr>
        <w:t>Définition et facteurs qui influencent la perception</w:t>
      </w:r>
    </w:p>
    <w:p w14:paraId="77B74F1B" w14:textId="77777777" w:rsidR="00265183" w:rsidRPr="00265183" w:rsidRDefault="00265183" w:rsidP="00265183">
      <w:pPr>
        <w:jc w:val="both"/>
        <w:rPr>
          <w:rFonts w:ascii="Cambria" w:hAnsi="Cambria"/>
          <w:sz w:val="24"/>
          <w:szCs w:val="24"/>
        </w:rPr>
      </w:pPr>
    </w:p>
    <w:p w14:paraId="4E62B618" w14:textId="03ADD22A" w:rsidR="00265183" w:rsidRPr="00265183" w:rsidRDefault="00265183" w:rsidP="00265183">
      <w:pPr>
        <w:jc w:val="both"/>
        <w:rPr>
          <w:rFonts w:ascii="Cambria" w:hAnsi="Cambria"/>
          <w:sz w:val="24"/>
          <w:szCs w:val="24"/>
        </w:rPr>
      </w:pPr>
      <w:r w:rsidRPr="00265183">
        <w:rPr>
          <w:rFonts w:ascii="Cambria" w:hAnsi="Cambria"/>
          <w:sz w:val="24"/>
          <w:szCs w:val="24"/>
        </w:rPr>
        <w:t>La notion de perception du risque renvoie à la manière dont les individus et les communautés appréhendent les dangers, en fonction non seulement de données objectives mais aussi de facteurs psychologiques, sociaux et culturels. Contrairement à l’évaluation scientifique du risque, qui repose sur une méthodologie, des mesures de probabilité et des estimations quantitatives de gravité des dommages, la perception est fondamentalement subjective et peut diverger fortement des conclusions d’une analyse technique (</w:t>
      </w:r>
      <w:proofErr w:type="spellStart"/>
      <w:r w:rsidRPr="00265183">
        <w:rPr>
          <w:rFonts w:ascii="Cambria" w:hAnsi="Cambria"/>
          <w:sz w:val="24"/>
          <w:szCs w:val="24"/>
        </w:rPr>
        <w:t>Slovic</w:t>
      </w:r>
      <w:proofErr w:type="spellEnd"/>
      <w:r w:rsidRPr="00265183">
        <w:rPr>
          <w:rFonts w:ascii="Cambria" w:hAnsi="Cambria"/>
          <w:sz w:val="24"/>
          <w:szCs w:val="24"/>
        </w:rPr>
        <w:t>, 1987). La perception n’est pas seulement individuelle, elle est aussi collective. Elle se nourrit de récits, d’expériences partagées et de la mémoire sociale des catastrophes (ex : Bhopal</w:t>
      </w:r>
      <w:r w:rsidR="00C93EFC">
        <w:rPr>
          <w:rStyle w:val="Appelnotedebasdep"/>
          <w:rFonts w:ascii="Cambria" w:hAnsi="Cambria"/>
          <w:sz w:val="24"/>
          <w:szCs w:val="24"/>
        </w:rPr>
        <w:footnoteReference w:id="5"/>
      </w:r>
      <w:r w:rsidRPr="00265183">
        <w:rPr>
          <w:rFonts w:ascii="Cambria" w:hAnsi="Cambria"/>
          <w:sz w:val="24"/>
          <w:szCs w:val="24"/>
        </w:rPr>
        <w:t xml:space="preserve">, Tchernobyl, maladie de la vache folle, Fukushima). Le cadre de l’amplification sociale du risque proposé par </w:t>
      </w:r>
      <w:proofErr w:type="spellStart"/>
      <w:r w:rsidRPr="00265183">
        <w:rPr>
          <w:rFonts w:ascii="Cambria" w:hAnsi="Cambria"/>
          <w:sz w:val="24"/>
          <w:szCs w:val="24"/>
        </w:rPr>
        <w:t>Kasperson</w:t>
      </w:r>
      <w:proofErr w:type="spellEnd"/>
      <w:r w:rsidRPr="00265183">
        <w:rPr>
          <w:rFonts w:ascii="Cambria" w:hAnsi="Cambria"/>
          <w:sz w:val="24"/>
          <w:szCs w:val="24"/>
        </w:rPr>
        <w:t xml:space="preserve"> et al. (1988) illustre comment les médias, les ONG ou des acteurs institutionnels peuvent amplifier ou minimiser la perception d’un danger, influençant la réaction des citoyens bien au-delà du risque mesuré.</w:t>
      </w:r>
    </w:p>
    <w:p w14:paraId="3BF09727" w14:textId="77777777" w:rsidR="00265183" w:rsidRPr="00265183" w:rsidRDefault="00265183" w:rsidP="00265183">
      <w:pPr>
        <w:jc w:val="both"/>
        <w:rPr>
          <w:rFonts w:ascii="Cambria" w:hAnsi="Cambria"/>
          <w:sz w:val="24"/>
          <w:szCs w:val="24"/>
        </w:rPr>
      </w:pPr>
    </w:p>
    <w:p w14:paraId="17E3843E" w14:textId="77777777" w:rsidR="00265183" w:rsidRPr="00265183" w:rsidRDefault="00265183" w:rsidP="00265183">
      <w:pPr>
        <w:jc w:val="both"/>
        <w:rPr>
          <w:rFonts w:ascii="Cambria" w:hAnsi="Cambria"/>
          <w:sz w:val="24"/>
          <w:szCs w:val="24"/>
        </w:rPr>
      </w:pPr>
      <w:r w:rsidRPr="00265183">
        <w:rPr>
          <w:rFonts w:ascii="Cambria" w:hAnsi="Cambria"/>
          <w:sz w:val="24"/>
          <w:szCs w:val="24"/>
        </w:rPr>
        <w:t xml:space="preserve">Les travaux pionniers de Paul </w:t>
      </w:r>
      <w:proofErr w:type="spellStart"/>
      <w:r w:rsidRPr="00265183">
        <w:rPr>
          <w:rFonts w:ascii="Cambria" w:hAnsi="Cambria"/>
          <w:sz w:val="24"/>
          <w:szCs w:val="24"/>
        </w:rPr>
        <w:t>Slovic</w:t>
      </w:r>
      <w:proofErr w:type="spellEnd"/>
      <w:r w:rsidRPr="00265183">
        <w:rPr>
          <w:rFonts w:ascii="Cambria" w:hAnsi="Cambria"/>
          <w:sz w:val="24"/>
          <w:szCs w:val="24"/>
        </w:rPr>
        <w:t xml:space="preserve"> et de l’école psychométrique ont montré que la perception du risque dépend de caractéristiques spécifiques du danger. Les risques </w:t>
      </w:r>
      <w:r w:rsidRPr="00265183">
        <w:rPr>
          <w:rFonts w:ascii="Cambria" w:hAnsi="Cambria"/>
          <w:sz w:val="24"/>
          <w:szCs w:val="24"/>
        </w:rPr>
        <w:lastRenderedPageBreak/>
        <w:t>invisibles, nouveaux, imposés ou encore incontrôlables sont généralement jugés plus menaçants que les risques familiers ou volontairement choisis (</w:t>
      </w:r>
      <w:proofErr w:type="spellStart"/>
      <w:r w:rsidRPr="00265183">
        <w:rPr>
          <w:rFonts w:ascii="Cambria" w:hAnsi="Cambria"/>
          <w:sz w:val="24"/>
          <w:szCs w:val="24"/>
        </w:rPr>
        <w:t>Slovic</w:t>
      </w:r>
      <w:proofErr w:type="spellEnd"/>
      <w:r w:rsidRPr="00265183">
        <w:rPr>
          <w:rFonts w:ascii="Cambria" w:hAnsi="Cambria"/>
          <w:sz w:val="24"/>
          <w:szCs w:val="24"/>
        </w:rPr>
        <w:t xml:space="preserve">, 2000 ; </w:t>
      </w:r>
      <w:proofErr w:type="spellStart"/>
      <w:r w:rsidRPr="00265183">
        <w:rPr>
          <w:rFonts w:ascii="Cambria" w:hAnsi="Cambria"/>
          <w:sz w:val="24"/>
          <w:szCs w:val="24"/>
        </w:rPr>
        <w:t>Covello</w:t>
      </w:r>
      <w:proofErr w:type="spellEnd"/>
      <w:r w:rsidRPr="00265183">
        <w:rPr>
          <w:rFonts w:ascii="Cambria" w:hAnsi="Cambria"/>
          <w:sz w:val="24"/>
          <w:szCs w:val="24"/>
        </w:rPr>
        <w:t xml:space="preserve">, 1983). Ainsi, une activité comme le tabagisme, bien que scientifiquement reconnue comme extrêmement dangereuse pour la santé, reste souvent sous-estimée par les individus qui en tirent un plaisir immédiat. Un autre exemple est la perception des effets du dérèglement climatique : bien qu’observables et scientifiquement documentés, ce risque est encore perçu comme abstrait par une partie de la population. À l’inverse, la présence de PFAS dans l’eau et les œufs de poule, ou des technologies comme la 5G ou les OGM, dont les effets sanitaires sont encore incertains et discutés, suscitent de fortes inquiétudes. </w:t>
      </w:r>
    </w:p>
    <w:p w14:paraId="0E550688" w14:textId="77777777" w:rsidR="00265183" w:rsidRPr="00265183" w:rsidRDefault="00265183" w:rsidP="00265183">
      <w:pPr>
        <w:jc w:val="both"/>
        <w:rPr>
          <w:rFonts w:ascii="Cambria" w:hAnsi="Cambria"/>
          <w:sz w:val="24"/>
          <w:szCs w:val="24"/>
        </w:rPr>
      </w:pPr>
    </w:p>
    <w:p w14:paraId="6EE8583C" w14:textId="77777777" w:rsidR="00265183" w:rsidRPr="00265183" w:rsidRDefault="00265183" w:rsidP="00265183">
      <w:pPr>
        <w:jc w:val="both"/>
        <w:rPr>
          <w:rFonts w:ascii="Cambria" w:hAnsi="Cambria"/>
          <w:sz w:val="24"/>
          <w:szCs w:val="24"/>
        </w:rPr>
      </w:pPr>
      <w:r w:rsidRPr="00265183">
        <w:rPr>
          <w:rFonts w:ascii="Cambria" w:hAnsi="Cambria"/>
          <w:sz w:val="24"/>
          <w:szCs w:val="24"/>
        </w:rPr>
        <w:t>Plusieurs facteurs modulent donc la perception du risque :</w:t>
      </w:r>
    </w:p>
    <w:p w14:paraId="628DE4EA" w14:textId="60FCEF03" w:rsidR="00265183" w:rsidRPr="00265183" w:rsidRDefault="00265183" w:rsidP="00E0484D">
      <w:pPr>
        <w:pStyle w:val="Paragraphedeliste"/>
        <w:numPr>
          <w:ilvl w:val="0"/>
          <w:numId w:val="19"/>
        </w:numPr>
        <w:spacing w:before="40"/>
        <w:contextualSpacing w:val="0"/>
        <w:jc w:val="both"/>
        <w:rPr>
          <w:rFonts w:ascii="Cambria" w:hAnsi="Cambria"/>
          <w:sz w:val="24"/>
          <w:szCs w:val="24"/>
        </w:rPr>
      </w:pPr>
      <w:r w:rsidRPr="00265183">
        <w:rPr>
          <w:rFonts w:ascii="Cambria" w:hAnsi="Cambria"/>
          <w:sz w:val="24"/>
          <w:szCs w:val="24"/>
        </w:rPr>
        <w:t>L’invisibilité du danger : les risques qui ne se voient pas, ne se sentent pas et dont les effets sont différés (comme les résidus de pesticides, la pollution de l’air ou les radiations) sont perçus comme plus inquiétants.</w:t>
      </w:r>
    </w:p>
    <w:p w14:paraId="7893CD3B" w14:textId="71E0A49D" w:rsidR="00265183" w:rsidRPr="00265183" w:rsidRDefault="00265183" w:rsidP="00E0484D">
      <w:pPr>
        <w:pStyle w:val="Paragraphedeliste"/>
        <w:numPr>
          <w:ilvl w:val="0"/>
          <w:numId w:val="19"/>
        </w:numPr>
        <w:spacing w:before="40"/>
        <w:contextualSpacing w:val="0"/>
        <w:jc w:val="both"/>
        <w:rPr>
          <w:rFonts w:ascii="Cambria" w:hAnsi="Cambria"/>
          <w:sz w:val="24"/>
          <w:szCs w:val="24"/>
        </w:rPr>
      </w:pPr>
      <w:r w:rsidRPr="00265183">
        <w:rPr>
          <w:rFonts w:ascii="Cambria" w:hAnsi="Cambria"/>
          <w:sz w:val="24"/>
          <w:szCs w:val="24"/>
        </w:rPr>
        <w:t xml:space="preserve">Le contrôle perçu : un danger subi (ex. </w:t>
      </w:r>
      <w:r w:rsidR="00FA54CC">
        <w:rPr>
          <w:rFonts w:ascii="Cambria" w:hAnsi="Cambria"/>
          <w:sz w:val="24"/>
          <w:szCs w:val="24"/>
        </w:rPr>
        <w:t>l’</w:t>
      </w:r>
      <w:r w:rsidRPr="00265183">
        <w:rPr>
          <w:rFonts w:ascii="Cambria" w:hAnsi="Cambria"/>
          <w:sz w:val="24"/>
          <w:szCs w:val="24"/>
        </w:rPr>
        <w:t>exposition involontaire aux pesticides pour les riverains) est jugé plus grave qu’un danger choisi (pratique sportive risquée).</w:t>
      </w:r>
    </w:p>
    <w:p w14:paraId="593543AC" w14:textId="4AB7ED86" w:rsidR="00265183" w:rsidRPr="00265183" w:rsidRDefault="00265183" w:rsidP="00E0484D">
      <w:pPr>
        <w:pStyle w:val="Paragraphedeliste"/>
        <w:numPr>
          <w:ilvl w:val="0"/>
          <w:numId w:val="19"/>
        </w:numPr>
        <w:spacing w:before="40"/>
        <w:contextualSpacing w:val="0"/>
        <w:jc w:val="both"/>
        <w:rPr>
          <w:rFonts w:ascii="Cambria" w:hAnsi="Cambria"/>
          <w:sz w:val="24"/>
          <w:szCs w:val="24"/>
        </w:rPr>
      </w:pPr>
      <w:r w:rsidRPr="00265183">
        <w:rPr>
          <w:rFonts w:ascii="Cambria" w:hAnsi="Cambria"/>
          <w:sz w:val="24"/>
          <w:szCs w:val="24"/>
        </w:rPr>
        <w:t>La nouveauté : les risques émergents, encore mal connus scientifiquement, alimentent plus de peurs que les dangers banalisés (ex : pandémies).</w:t>
      </w:r>
    </w:p>
    <w:p w14:paraId="6B720568" w14:textId="48950669" w:rsidR="00265183" w:rsidRPr="00265183" w:rsidRDefault="00265183" w:rsidP="00E0484D">
      <w:pPr>
        <w:pStyle w:val="Paragraphedeliste"/>
        <w:numPr>
          <w:ilvl w:val="0"/>
          <w:numId w:val="19"/>
        </w:numPr>
        <w:spacing w:before="40"/>
        <w:contextualSpacing w:val="0"/>
        <w:jc w:val="both"/>
        <w:rPr>
          <w:rFonts w:ascii="Cambria" w:hAnsi="Cambria"/>
          <w:sz w:val="24"/>
          <w:szCs w:val="24"/>
        </w:rPr>
      </w:pPr>
      <w:r w:rsidRPr="00265183">
        <w:rPr>
          <w:rFonts w:ascii="Cambria" w:hAnsi="Cambria"/>
          <w:sz w:val="24"/>
          <w:szCs w:val="24"/>
        </w:rPr>
        <w:t xml:space="preserve">La justice sociale : quand un risque touche davantage certaines catégories de population (ex : </w:t>
      </w:r>
      <w:r w:rsidR="00FA54CC">
        <w:rPr>
          <w:rFonts w:ascii="Cambria" w:hAnsi="Cambria"/>
          <w:sz w:val="24"/>
          <w:szCs w:val="24"/>
        </w:rPr>
        <w:t xml:space="preserve">les </w:t>
      </w:r>
      <w:r w:rsidRPr="00265183">
        <w:rPr>
          <w:rFonts w:ascii="Cambria" w:hAnsi="Cambria"/>
          <w:sz w:val="24"/>
          <w:szCs w:val="24"/>
        </w:rPr>
        <w:t xml:space="preserve">ouvriers agricoles, </w:t>
      </w:r>
      <w:r w:rsidR="00FA54CC">
        <w:rPr>
          <w:rFonts w:ascii="Cambria" w:hAnsi="Cambria"/>
          <w:sz w:val="24"/>
          <w:szCs w:val="24"/>
        </w:rPr>
        <w:t xml:space="preserve">les </w:t>
      </w:r>
      <w:r w:rsidRPr="00265183">
        <w:rPr>
          <w:rFonts w:ascii="Cambria" w:hAnsi="Cambria"/>
          <w:sz w:val="24"/>
          <w:szCs w:val="24"/>
        </w:rPr>
        <w:t xml:space="preserve">riverains des zones d’épandage, </w:t>
      </w:r>
      <w:r w:rsidR="00FA54CC">
        <w:rPr>
          <w:rFonts w:ascii="Cambria" w:hAnsi="Cambria"/>
          <w:sz w:val="24"/>
          <w:szCs w:val="24"/>
        </w:rPr>
        <w:t>les paysan</w:t>
      </w:r>
      <w:r w:rsidRPr="00265183">
        <w:rPr>
          <w:rFonts w:ascii="Cambria" w:hAnsi="Cambria"/>
          <w:sz w:val="24"/>
          <w:szCs w:val="24"/>
        </w:rPr>
        <w:t>s des pays du Sud), il est perçu comme d’autant plus inacceptable (Bullard, 2000).</w:t>
      </w:r>
    </w:p>
    <w:p w14:paraId="10466484" w14:textId="33051FDC" w:rsidR="00265183" w:rsidRPr="00265183" w:rsidRDefault="00265183" w:rsidP="00E0484D">
      <w:pPr>
        <w:pStyle w:val="Paragraphedeliste"/>
        <w:numPr>
          <w:ilvl w:val="0"/>
          <w:numId w:val="19"/>
        </w:numPr>
        <w:spacing w:before="40"/>
        <w:contextualSpacing w:val="0"/>
        <w:jc w:val="both"/>
        <w:rPr>
          <w:rFonts w:ascii="Cambria" w:hAnsi="Cambria"/>
          <w:sz w:val="24"/>
          <w:szCs w:val="24"/>
        </w:rPr>
      </w:pPr>
      <w:r w:rsidRPr="00265183">
        <w:rPr>
          <w:rFonts w:ascii="Cambria" w:hAnsi="Cambria"/>
          <w:sz w:val="24"/>
          <w:szCs w:val="24"/>
        </w:rPr>
        <w:t>La confiance dans les institutions : la perception varie fortement selon que les autorités sont jugées compétentes, transparentes et désintéressées, ou au contraire perçues comme opaques, sous l’influence des firmes, voire corrompues ou liées à des scandales (Renn, 1998).</w:t>
      </w:r>
    </w:p>
    <w:p w14:paraId="778AC7A2" w14:textId="77777777" w:rsidR="00265183" w:rsidRPr="00265183" w:rsidRDefault="00265183" w:rsidP="00265183">
      <w:pPr>
        <w:jc w:val="both"/>
        <w:rPr>
          <w:rFonts w:ascii="Cambria" w:hAnsi="Cambria"/>
          <w:sz w:val="24"/>
          <w:szCs w:val="24"/>
        </w:rPr>
      </w:pPr>
    </w:p>
    <w:p w14:paraId="22198E16" w14:textId="77777777" w:rsidR="00265183" w:rsidRPr="00265183" w:rsidRDefault="00265183" w:rsidP="00265183">
      <w:pPr>
        <w:rPr>
          <w:rFonts w:ascii="Cambria" w:hAnsi="Cambria"/>
          <w:b/>
          <w:bCs/>
          <w:color w:val="80340D" w:themeColor="accent2" w:themeShade="80"/>
          <w:sz w:val="24"/>
          <w:szCs w:val="24"/>
        </w:rPr>
      </w:pPr>
      <w:r w:rsidRPr="00265183">
        <w:rPr>
          <w:rFonts w:ascii="Cambria" w:hAnsi="Cambria"/>
          <w:b/>
          <w:bCs/>
          <w:color w:val="80340D" w:themeColor="accent2" w:themeShade="80"/>
          <w:sz w:val="24"/>
          <w:szCs w:val="24"/>
        </w:rPr>
        <w:t>La problématique des pesticides illustre le décalage entre risque réel et risque perçu</w:t>
      </w:r>
    </w:p>
    <w:p w14:paraId="496C9BC3" w14:textId="77777777" w:rsidR="00265183" w:rsidRPr="00265183" w:rsidRDefault="00265183" w:rsidP="00265183">
      <w:pPr>
        <w:rPr>
          <w:rFonts w:ascii="Cambria" w:hAnsi="Cambria"/>
          <w:b/>
          <w:bCs/>
          <w:color w:val="80340D" w:themeColor="accent2" w:themeShade="80"/>
          <w:sz w:val="24"/>
          <w:szCs w:val="24"/>
        </w:rPr>
      </w:pPr>
    </w:p>
    <w:p w14:paraId="66A06366" w14:textId="77777777" w:rsidR="00265183" w:rsidRPr="00265183" w:rsidRDefault="00265183" w:rsidP="00265183">
      <w:pPr>
        <w:jc w:val="both"/>
        <w:rPr>
          <w:rFonts w:ascii="Cambria" w:hAnsi="Cambria"/>
          <w:sz w:val="24"/>
          <w:szCs w:val="24"/>
        </w:rPr>
      </w:pPr>
      <w:r w:rsidRPr="00265183">
        <w:rPr>
          <w:rFonts w:ascii="Cambria" w:hAnsi="Cambria"/>
          <w:sz w:val="24"/>
          <w:szCs w:val="24"/>
        </w:rPr>
        <w:t>Objectivement, les données scientifiques attestent d’effets délétères sur la santé (maladies neurodégénératives, perturbations endocriniennes, autisme, troubles cognitifs, cancers, etc.) et sur l’environnement (perte de biodiversité et de pollinisateurs, pollution des sols et des eaux). Pourtant, la perception varie fortement selon le point de vue :</w:t>
      </w:r>
    </w:p>
    <w:p w14:paraId="32123EE9" w14:textId="6A752044" w:rsidR="00265183" w:rsidRPr="00265183" w:rsidRDefault="00265183" w:rsidP="00265183">
      <w:pPr>
        <w:pStyle w:val="Paragraphedeliste"/>
        <w:numPr>
          <w:ilvl w:val="0"/>
          <w:numId w:val="11"/>
        </w:numPr>
        <w:spacing w:before="40"/>
        <w:ind w:left="357" w:hanging="357"/>
        <w:contextualSpacing w:val="0"/>
        <w:jc w:val="both"/>
        <w:rPr>
          <w:rFonts w:ascii="Cambria" w:hAnsi="Cambria"/>
          <w:sz w:val="24"/>
          <w:szCs w:val="24"/>
        </w:rPr>
      </w:pPr>
      <w:r w:rsidRPr="00265183">
        <w:rPr>
          <w:rFonts w:ascii="Cambria" w:hAnsi="Cambria"/>
          <w:sz w:val="24"/>
          <w:szCs w:val="24"/>
        </w:rPr>
        <w:t>Chez beaucoup d’agriculteurs, l’usage des pesticides est encore perçu comme un outil indispensable et maîtrisable, renforcé par la croyance qu’un usage "raisonné" ou des équipements de protection suffisent à rendre le risque négligeable.</w:t>
      </w:r>
    </w:p>
    <w:p w14:paraId="010437FB" w14:textId="4DCE99F1" w:rsidR="00265183" w:rsidRPr="00265183" w:rsidRDefault="00265183" w:rsidP="00265183">
      <w:pPr>
        <w:pStyle w:val="Paragraphedeliste"/>
        <w:numPr>
          <w:ilvl w:val="0"/>
          <w:numId w:val="11"/>
        </w:numPr>
        <w:spacing w:before="40"/>
        <w:ind w:left="357" w:hanging="357"/>
        <w:contextualSpacing w:val="0"/>
        <w:jc w:val="both"/>
        <w:rPr>
          <w:rFonts w:ascii="Cambria" w:hAnsi="Cambria"/>
          <w:sz w:val="24"/>
          <w:szCs w:val="24"/>
        </w:rPr>
      </w:pPr>
      <w:r w:rsidRPr="00265183">
        <w:rPr>
          <w:rFonts w:ascii="Cambria" w:hAnsi="Cambria"/>
          <w:sz w:val="24"/>
          <w:szCs w:val="24"/>
        </w:rPr>
        <w:t>Pour les consommateurs, de simples chiffres sur le respect des seuils admissibles de résidus (LMR) ne suffisent pas. Les citoyens attendent des explications claires sur la présence de multiples résidus, une reconnaissance des incertitudes quant à l’effet de ces traces sur leur santé, et surtout une prise en compte de leurs préoccupations dans les processus de décision ((ré)autorisation ou non).</w:t>
      </w:r>
    </w:p>
    <w:p w14:paraId="19E448AA" w14:textId="06B79EA0" w:rsidR="00265183" w:rsidRPr="00265183" w:rsidRDefault="00265183" w:rsidP="00265183">
      <w:pPr>
        <w:pStyle w:val="Paragraphedeliste"/>
        <w:numPr>
          <w:ilvl w:val="0"/>
          <w:numId w:val="11"/>
        </w:numPr>
        <w:spacing w:before="40"/>
        <w:ind w:left="357" w:hanging="357"/>
        <w:contextualSpacing w:val="0"/>
        <w:jc w:val="both"/>
        <w:rPr>
          <w:rFonts w:ascii="Cambria" w:hAnsi="Cambria"/>
          <w:sz w:val="24"/>
          <w:szCs w:val="24"/>
        </w:rPr>
      </w:pPr>
      <w:r w:rsidRPr="00265183">
        <w:rPr>
          <w:rFonts w:ascii="Cambria" w:hAnsi="Cambria"/>
          <w:sz w:val="24"/>
          <w:szCs w:val="24"/>
        </w:rPr>
        <w:t>Pour les riverains ou les associations environnementales (Greenpeace, CANOPEA, Nature &amp; Progrès, …), ces produits sont perçus comme des menaces invisibles et imposées, renforçant un sentiment d’injustice.</w:t>
      </w:r>
    </w:p>
    <w:p w14:paraId="65C4693D" w14:textId="1E49AB66" w:rsidR="00265183" w:rsidRPr="00265183" w:rsidRDefault="00265183" w:rsidP="00265183">
      <w:pPr>
        <w:pStyle w:val="Paragraphedeliste"/>
        <w:numPr>
          <w:ilvl w:val="0"/>
          <w:numId w:val="11"/>
        </w:numPr>
        <w:spacing w:before="40"/>
        <w:ind w:left="357" w:hanging="357"/>
        <w:contextualSpacing w:val="0"/>
        <w:jc w:val="both"/>
        <w:rPr>
          <w:rFonts w:ascii="Cambria" w:hAnsi="Cambria"/>
          <w:sz w:val="24"/>
          <w:szCs w:val="24"/>
        </w:rPr>
      </w:pPr>
      <w:r w:rsidRPr="00265183">
        <w:rPr>
          <w:rFonts w:ascii="Cambria" w:hAnsi="Cambria"/>
          <w:sz w:val="24"/>
          <w:szCs w:val="24"/>
        </w:rPr>
        <w:t>Dans les pays du Sud, où sont exportés des pesticides interdits en Europe, la perception est souvent plus ambivalente : les risques sont connus, mais le besoin économique de maintenir les rendements prime sur la capacité de les refuser (CETIM, 2025).</w:t>
      </w:r>
    </w:p>
    <w:p w14:paraId="3B063971" w14:textId="77777777" w:rsidR="00265183" w:rsidRPr="00265183" w:rsidRDefault="00265183" w:rsidP="00265183">
      <w:pPr>
        <w:jc w:val="both"/>
        <w:rPr>
          <w:rFonts w:ascii="Cambria" w:hAnsi="Cambria"/>
          <w:sz w:val="24"/>
          <w:szCs w:val="24"/>
        </w:rPr>
      </w:pPr>
    </w:p>
    <w:p w14:paraId="78D671F9" w14:textId="77777777" w:rsidR="00265183" w:rsidRPr="00265183" w:rsidRDefault="00265183" w:rsidP="00265183">
      <w:pPr>
        <w:rPr>
          <w:rFonts w:ascii="Cambria" w:hAnsi="Cambria"/>
          <w:b/>
          <w:bCs/>
          <w:color w:val="80340D" w:themeColor="accent2" w:themeShade="80"/>
          <w:sz w:val="24"/>
          <w:szCs w:val="24"/>
        </w:rPr>
      </w:pPr>
      <w:r w:rsidRPr="00265183">
        <w:rPr>
          <w:rFonts w:ascii="Cambria" w:hAnsi="Cambria"/>
          <w:b/>
          <w:bCs/>
          <w:color w:val="80340D" w:themeColor="accent2" w:themeShade="80"/>
          <w:sz w:val="24"/>
          <w:szCs w:val="24"/>
        </w:rPr>
        <w:t>Conséquences de la divergence entre risques mesurés et risques perçus</w:t>
      </w:r>
    </w:p>
    <w:p w14:paraId="55DF5A10" w14:textId="77777777" w:rsidR="00265183" w:rsidRPr="00265183" w:rsidRDefault="00265183" w:rsidP="00265183">
      <w:pPr>
        <w:jc w:val="both"/>
        <w:rPr>
          <w:rFonts w:ascii="Cambria" w:hAnsi="Cambria"/>
          <w:sz w:val="24"/>
          <w:szCs w:val="24"/>
        </w:rPr>
      </w:pPr>
    </w:p>
    <w:p w14:paraId="748EF459" w14:textId="77777777" w:rsidR="00265183" w:rsidRPr="00265183" w:rsidRDefault="00265183" w:rsidP="00265183">
      <w:pPr>
        <w:jc w:val="both"/>
        <w:rPr>
          <w:rFonts w:ascii="Cambria" w:hAnsi="Cambria"/>
          <w:sz w:val="24"/>
          <w:szCs w:val="24"/>
        </w:rPr>
      </w:pPr>
      <w:r w:rsidRPr="00265183">
        <w:rPr>
          <w:rFonts w:ascii="Cambria" w:hAnsi="Cambria"/>
          <w:sz w:val="24"/>
          <w:szCs w:val="24"/>
        </w:rPr>
        <w:t>Dans la pratique de « gestion du risque » (notamment en termes d’acceptabilité du risque), cette divergence aura plusieurs conséquences pratiques :</w:t>
      </w:r>
    </w:p>
    <w:p w14:paraId="2B40E0B0" w14:textId="64DC10DA" w:rsidR="00265183" w:rsidRPr="00265183" w:rsidRDefault="00265183" w:rsidP="00C93EFC">
      <w:pPr>
        <w:pStyle w:val="Paragraphedeliste"/>
        <w:numPr>
          <w:ilvl w:val="0"/>
          <w:numId w:val="11"/>
        </w:numPr>
        <w:spacing w:before="40"/>
        <w:ind w:left="357" w:hanging="357"/>
        <w:contextualSpacing w:val="0"/>
        <w:jc w:val="both"/>
        <w:rPr>
          <w:rFonts w:ascii="Cambria" w:hAnsi="Cambria"/>
          <w:sz w:val="24"/>
          <w:szCs w:val="24"/>
        </w:rPr>
      </w:pPr>
      <w:r w:rsidRPr="00265183">
        <w:rPr>
          <w:rFonts w:ascii="Cambria" w:hAnsi="Cambria"/>
          <w:sz w:val="24"/>
          <w:szCs w:val="24"/>
        </w:rPr>
        <w:t>Méfiance envers les politiques publiques : si la communication institutionnelle nie ou minimise les perceptions, elle peut engendrer un rejet massif. Un exemple-type est celui des positions divergentes de deux institutions, le CIRC</w:t>
      </w:r>
      <w:r w:rsidR="00A7283B">
        <w:rPr>
          <w:rStyle w:val="Appelnotedebasdep"/>
          <w:rFonts w:ascii="Cambria" w:hAnsi="Cambria"/>
          <w:sz w:val="24"/>
          <w:szCs w:val="24"/>
        </w:rPr>
        <w:footnoteReference w:id="6"/>
      </w:r>
      <w:r w:rsidRPr="00265183">
        <w:rPr>
          <w:rFonts w:ascii="Cambria" w:hAnsi="Cambria"/>
          <w:sz w:val="24"/>
          <w:szCs w:val="24"/>
        </w:rPr>
        <w:t xml:space="preserve"> – concluant que le glyphosate est probablement cancérogène - et l’EFSA</w:t>
      </w:r>
      <w:r w:rsidR="00A7283B">
        <w:rPr>
          <w:rStyle w:val="Appelnotedebasdep"/>
          <w:rFonts w:ascii="Cambria" w:hAnsi="Cambria"/>
          <w:sz w:val="24"/>
          <w:szCs w:val="24"/>
        </w:rPr>
        <w:footnoteReference w:id="7"/>
      </w:r>
      <w:r w:rsidRPr="00265183">
        <w:rPr>
          <w:rFonts w:ascii="Cambria" w:hAnsi="Cambria"/>
          <w:sz w:val="24"/>
          <w:szCs w:val="24"/>
        </w:rPr>
        <w:t xml:space="preserve"> – jugeant le risque acceptable dans les conditions prévues de son utilisation. Les conclusions de l’EFSA étant principalement basée sur les études des firmes productrices, elles suscitent le rejet du public, et engendrent même une méfiance plus générale pour les travaux de l’EFSA.</w:t>
      </w:r>
    </w:p>
    <w:p w14:paraId="72F87835" w14:textId="7718E50F" w:rsidR="00265183" w:rsidRPr="00265183" w:rsidRDefault="00265183" w:rsidP="00C93EFC">
      <w:pPr>
        <w:pStyle w:val="Paragraphedeliste"/>
        <w:numPr>
          <w:ilvl w:val="0"/>
          <w:numId w:val="11"/>
        </w:numPr>
        <w:spacing w:before="40"/>
        <w:ind w:left="357" w:hanging="357"/>
        <w:contextualSpacing w:val="0"/>
        <w:jc w:val="both"/>
        <w:rPr>
          <w:rFonts w:ascii="Cambria" w:hAnsi="Cambria"/>
          <w:sz w:val="24"/>
          <w:szCs w:val="24"/>
        </w:rPr>
      </w:pPr>
      <w:r w:rsidRPr="00265183">
        <w:rPr>
          <w:rFonts w:ascii="Cambria" w:hAnsi="Cambria"/>
          <w:sz w:val="24"/>
          <w:szCs w:val="24"/>
        </w:rPr>
        <w:t>Sous-estimation de certains risques graves : la pollution atmosphérique cause des millions de morts prématurées chaque année, mais demeure largement tolérée par la société car ses effets sont diffus et non spectaculaires (mort silencieuse).</w:t>
      </w:r>
    </w:p>
    <w:p w14:paraId="412872E7" w14:textId="72FC9919" w:rsidR="00265183" w:rsidRPr="00265183" w:rsidRDefault="00265183" w:rsidP="00C93EFC">
      <w:pPr>
        <w:pStyle w:val="Paragraphedeliste"/>
        <w:numPr>
          <w:ilvl w:val="0"/>
          <w:numId w:val="11"/>
        </w:numPr>
        <w:spacing w:before="40"/>
        <w:ind w:left="357" w:hanging="357"/>
        <w:contextualSpacing w:val="0"/>
        <w:jc w:val="both"/>
        <w:rPr>
          <w:rFonts w:ascii="Cambria" w:hAnsi="Cambria"/>
          <w:sz w:val="24"/>
          <w:szCs w:val="24"/>
        </w:rPr>
      </w:pPr>
      <w:r w:rsidRPr="00265183">
        <w:rPr>
          <w:rFonts w:ascii="Cambria" w:hAnsi="Cambria"/>
          <w:sz w:val="24"/>
          <w:szCs w:val="24"/>
        </w:rPr>
        <w:t>Mobilisation citoyenne : à l’inverse, une perception amplifiée peut déclencher des mouvements de contestation puissants, comme les pétitions ou les procès contre les néonicotinoïdes, l’acétamipride ou le glyphosate.</w:t>
      </w:r>
    </w:p>
    <w:p w14:paraId="47CCE641" w14:textId="77777777" w:rsidR="00265183" w:rsidRPr="00265183" w:rsidRDefault="00265183" w:rsidP="00265183">
      <w:pPr>
        <w:jc w:val="both"/>
        <w:rPr>
          <w:rFonts w:ascii="Cambria" w:hAnsi="Cambria"/>
          <w:sz w:val="24"/>
          <w:szCs w:val="24"/>
        </w:rPr>
      </w:pPr>
    </w:p>
    <w:p w14:paraId="1AAA1964" w14:textId="77777777" w:rsidR="00265183" w:rsidRPr="00265183" w:rsidRDefault="00265183" w:rsidP="00265183">
      <w:pPr>
        <w:jc w:val="both"/>
        <w:rPr>
          <w:rFonts w:ascii="Cambria" w:hAnsi="Cambria"/>
          <w:sz w:val="24"/>
          <w:szCs w:val="24"/>
        </w:rPr>
      </w:pPr>
      <w:r w:rsidRPr="00265183">
        <w:rPr>
          <w:rFonts w:ascii="Cambria" w:hAnsi="Cambria"/>
          <w:sz w:val="24"/>
          <w:szCs w:val="24"/>
        </w:rPr>
        <w:t>Il ne suffit pas de produire des données scientifiques. La communication et la participation des citoyens au débat font beaucoup pour ajuster la perception. La part subjective et émotionnelle des inquiétudes doit être reconnue et intégrée dans la communication sur le risque. Les approches qui associent transparence, écoute et participation citoyenne permettent de réduire l’écart entre risque perçu et risque réel (Renn, 1998).</w:t>
      </w:r>
    </w:p>
    <w:p w14:paraId="0A9CD9A3" w14:textId="77777777" w:rsidR="00265183" w:rsidRPr="00265183" w:rsidRDefault="00265183" w:rsidP="00265183">
      <w:pPr>
        <w:jc w:val="both"/>
        <w:rPr>
          <w:rFonts w:ascii="Cambria" w:hAnsi="Cambria"/>
          <w:sz w:val="24"/>
          <w:szCs w:val="24"/>
        </w:rPr>
      </w:pPr>
    </w:p>
    <w:p w14:paraId="6DC61578" w14:textId="4E742A20" w:rsidR="003E2E16" w:rsidRPr="00B12E7A" w:rsidRDefault="00265183" w:rsidP="00265183">
      <w:pPr>
        <w:jc w:val="both"/>
        <w:rPr>
          <w:rFonts w:ascii="Cambria" w:hAnsi="Cambria"/>
          <w:sz w:val="24"/>
          <w:szCs w:val="24"/>
        </w:rPr>
      </w:pPr>
      <w:r w:rsidRPr="00265183">
        <w:rPr>
          <w:rFonts w:ascii="Cambria" w:hAnsi="Cambria"/>
          <w:sz w:val="24"/>
          <w:szCs w:val="24"/>
        </w:rPr>
        <w:t>La perception du risque constitue une donnée incontournable pour comprendre les réactions sociales face aux dangers technologiques, sanitaires ou environnementaux. Elle n’est ni illogique ni irrationnelle : elle reflète des expériences vécues, un rapport de confiance avec les institutions, des valeurs collectives et un sentiment de justice sociale. Ignorer cette dimension revient à exposer les politiques publiques à l’échec, le montrent les campagnes anti-tabac ou les controverses persistantes autour des pesticides. En somme, la gestion du risque doit articuler évaluation scientifique et perception sociale,</w:t>
      </w:r>
      <w:r w:rsidR="00012CE6">
        <w:rPr>
          <w:rFonts w:ascii="Cambria" w:hAnsi="Cambria"/>
          <w:sz w:val="24"/>
          <w:szCs w:val="24"/>
        </w:rPr>
        <w:t xml:space="preserve"> </w:t>
      </w:r>
      <w:r w:rsidRPr="00265183">
        <w:rPr>
          <w:rFonts w:ascii="Cambria" w:hAnsi="Cambria"/>
          <w:sz w:val="24"/>
          <w:szCs w:val="24"/>
        </w:rPr>
        <w:t>afin d’élaborer des stratégies de prévention et de communication crédibles, légitimes et efficaces.</w:t>
      </w:r>
    </w:p>
    <w:p w14:paraId="254C246D" w14:textId="77777777" w:rsidR="005332B4" w:rsidRPr="00265183" w:rsidRDefault="005332B4" w:rsidP="003E2E16">
      <w:pPr>
        <w:jc w:val="both"/>
        <w:rPr>
          <w:rFonts w:ascii="Cambria" w:hAnsi="Cambria"/>
          <w:b/>
          <w:bCs/>
          <w:color w:val="80340D" w:themeColor="accent2" w:themeShade="80"/>
          <w:sz w:val="24"/>
          <w:szCs w:val="24"/>
        </w:rPr>
      </w:pPr>
    </w:p>
    <w:p w14:paraId="366D10C2" w14:textId="54C85AB1" w:rsidR="003E2E16" w:rsidRDefault="003E2E16" w:rsidP="003E2E16">
      <w:pPr>
        <w:jc w:val="both"/>
        <w:rPr>
          <w:rFonts w:ascii="Cambria" w:hAnsi="Cambria"/>
          <w:b/>
          <w:bCs/>
          <w:color w:val="80340D" w:themeColor="accent2" w:themeShade="80"/>
          <w:sz w:val="32"/>
          <w:szCs w:val="32"/>
        </w:rPr>
      </w:pPr>
      <w:r>
        <w:rPr>
          <w:rFonts w:ascii="Cambria" w:hAnsi="Cambria"/>
          <w:b/>
          <w:bCs/>
          <w:color w:val="80340D" w:themeColor="accent2" w:themeShade="80"/>
          <w:sz w:val="32"/>
          <w:szCs w:val="32"/>
        </w:rPr>
        <w:t>Acceptabilité</w:t>
      </w:r>
      <w:r w:rsidR="00B12E7A">
        <w:rPr>
          <w:rFonts w:ascii="Cambria" w:hAnsi="Cambria"/>
          <w:b/>
          <w:bCs/>
          <w:color w:val="80340D" w:themeColor="accent2" w:themeShade="80"/>
          <w:sz w:val="32"/>
          <w:szCs w:val="32"/>
        </w:rPr>
        <w:t xml:space="preserve"> </w:t>
      </w:r>
      <w:r w:rsidRPr="00FB34B1">
        <w:rPr>
          <w:rFonts w:ascii="Cambria" w:hAnsi="Cambria"/>
          <w:b/>
          <w:bCs/>
          <w:color w:val="80340D" w:themeColor="accent2" w:themeShade="80"/>
          <w:sz w:val="32"/>
          <w:szCs w:val="32"/>
        </w:rPr>
        <w:t>du risque</w:t>
      </w:r>
    </w:p>
    <w:p w14:paraId="7C8E485D" w14:textId="77777777" w:rsidR="005332B4" w:rsidRPr="00382D97" w:rsidRDefault="005332B4" w:rsidP="005332B4">
      <w:pPr>
        <w:rPr>
          <w:rFonts w:ascii="Cambria" w:hAnsi="Cambria"/>
          <w:sz w:val="24"/>
          <w:szCs w:val="24"/>
        </w:rPr>
      </w:pPr>
    </w:p>
    <w:p w14:paraId="797B1D9B" w14:textId="77777777" w:rsidR="005332B4" w:rsidRPr="00D017DD" w:rsidRDefault="005332B4" w:rsidP="005332B4">
      <w:pPr>
        <w:rPr>
          <w:rFonts w:ascii="Cambria" w:hAnsi="Cambria"/>
          <w:b/>
          <w:bCs/>
          <w:color w:val="80340D" w:themeColor="accent2" w:themeShade="80"/>
          <w:sz w:val="24"/>
          <w:szCs w:val="24"/>
        </w:rPr>
      </w:pPr>
      <w:r w:rsidRPr="00D017DD">
        <w:rPr>
          <w:rFonts w:ascii="Cambria" w:hAnsi="Cambria"/>
          <w:b/>
          <w:bCs/>
          <w:color w:val="80340D" w:themeColor="accent2" w:themeShade="80"/>
          <w:sz w:val="24"/>
          <w:szCs w:val="24"/>
        </w:rPr>
        <w:t>Qu’entend-on par « acceptabilité du risque » ?</w:t>
      </w:r>
    </w:p>
    <w:p w14:paraId="032BAD09" w14:textId="77777777" w:rsidR="005332B4" w:rsidRPr="00382D97" w:rsidRDefault="005332B4" w:rsidP="005332B4">
      <w:pPr>
        <w:jc w:val="both"/>
        <w:rPr>
          <w:rFonts w:ascii="Cambria" w:hAnsi="Cambria"/>
          <w:sz w:val="24"/>
          <w:szCs w:val="24"/>
        </w:rPr>
      </w:pPr>
    </w:p>
    <w:p w14:paraId="3D99F123" w14:textId="77777777" w:rsidR="005332B4" w:rsidRPr="00382D97" w:rsidRDefault="005332B4" w:rsidP="005332B4">
      <w:pPr>
        <w:jc w:val="both"/>
        <w:rPr>
          <w:rFonts w:ascii="Cambria" w:hAnsi="Cambria"/>
          <w:sz w:val="24"/>
          <w:szCs w:val="24"/>
        </w:rPr>
      </w:pPr>
      <w:r w:rsidRPr="00382D97">
        <w:rPr>
          <w:rFonts w:ascii="Cambria" w:hAnsi="Cambria"/>
          <w:sz w:val="24"/>
          <w:szCs w:val="24"/>
        </w:rPr>
        <w:t xml:space="preserve">L’acceptabilité du risque est </w:t>
      </w:r>
      <w:r w:rsidRPr="0051070D">
        <w:rPr>
          <w:rFonts w:ascii="Cambria" w:hAnsi="Cambria"/>
          <w:b/>
          <w:bCs/>
          <w:sz w:val="24"/>
          <w:szCs w:val="24"/>
        </w:rPr>
        <w:t>une notion centrale</w:t>
      </w:r>
      <w:r w:rsidRPr="00382D97">
        <w:rPr>
          <w:rFonts w:ascii="Cambria" w:hAnsi="Cambria"/>
          <w:sz w:val="24"/>
          <w:szCs w:val="24"/>
        </w:rPr>
        <w:t xml:space="preserve"> en santé publique, en environnement, en économie et en politique. Elle peut être définie comme le niveau de risque qu’un individu, une communauté ou une société est prêt à </w:t>
      </w:r>
      <w:r>
        <w:rPr>
          <w:rFonts w:ascii="Cambria" w:hAnsi="Cambria"/>
          <w:sz w:val="24"/>
          <w:szCs w:val="24"/>
        </w:rPr>
        <w:t>« </w:t>
      </w:r>
      <w:r w:rsidRPr="00382D97">
        <w:rPr>
          <w:rFonts w:ascii="Cambria" w:hAnsi="Cambria"/>
          <w:sz w:val="24"/>
          <w:szCs w:val="24"/>
        </w:rPr>
        <w:t>tolérer</w:t>
      </w:r>
      <w:r>
        <w:rPr>
          <w:rFonts w:ascii="Cambria" w:hAnsi="Cambria"/>
          <w:sz w:val="24"/>
          <w:szCs w:val="24"/>
        </w:rPr>
        <w:t> »</w:t>
      </w:r>
      <w:r w:rsidRPr="00382D97">
        <w:rPr>
          <w:rFonts w:ascii="Cambria" w:hAnsi="Cambria"/>
          <w:sz w:val="24"/>
          <w:szCs w:val="24"/>
        </w:rPr>
        <w:t xml:space="preserve"> dans un contexte donné, compte tenu des bénéfices attendus, des coûts et des alternatives disponibles. Ainsi, un </w:t>
      </w:r>
      <w:r w:rsidRPr="00382D97">
        <w:rPr>
          <w:rFonts w:ascii="Cambria" w:hAnsi="Cambria"/>
          <w:sz w:val="24"/>
          <w:szCs w:val="24"/>
        </w:rPr>
        <w:lastRenderedPageBreak/>
        <w:t xml:space="preserve">risque peut être toléré non pas parce qu’il est jugé scientifiquement négligeable, mais parce qu’il est perçu comme « nécessaire » ou « compensé » par des bénéfices majeurs. </w:t>
      </w:r>
    </w:p>
    <w:p w14:paraId="55C48E67" w14:textId="77777777" w:rsidR="005332B4" w:rsidRPr="00382D97" w:rsidRDefault="005332B4" w:rsidP="005332B4">
      <w:pPr>
        <w:jc w:val="both"/>
        <w:rPr>
          <w:rFonts w:ascii="Cambria" w:hAnsi="Cambria"/>
          <w:sz w:val="24"/>
          <w:szCs w:val="24"/>
        </w:rPr>
      </w:pPr>
    </w:p>
    <w:p w14:paraId="7097E938" w14:textId="77777777" w:rsidR="005332B4" w:rsidRPr="00382D97" w:rsidRDefault="005332B4" w:rsidP="005332B4">
      <w:pPr>
        <w:jc w:val="both"/>
        <w:rPr>
          <w:rFonts w:ascii="Cambria" w:hAnsi="Cambria"/>
          <w:sz w:val="24"/>
          <w:szCs w:val="24"/>
        </w:rPr>
      </w:pPr>
      <w:r w:rsidRPr="00382D97">
        <w:rPr>
          <w:rFonts w:ascii="Cambria" w:hAnsi="Cambria"/>
          <w:sz w:val="24"/>
          <w:szCs w:val="24"/>
        </w:rPr>
        <w:t>Dans la littérature sur l’analyse des risques, on distingue généralement deux dimensions complémentaires :</w:t>
      </w:r>
    </w:p>
    <w:p w14:paraId="0EDB0774" w14:textId="77777777" w:rsidR="005332B4" w:rsidRPr="00382D97" w:rsidRDefault="005332B4" w:rsidP="005332B4">
      <w:pPr>
        <w:pStyle w:val="Paragraphedeliste"/>
        <w:numPr>
          <w:ilvl w:val="0"/>
          <w:numId w:val="11"/>
        </w:numPr>
        <w:spacing w:before="40"/>
        <w:ind w:left="357" w:hanging="357"/>
        <w:contextualSpacing w:val="0"/>
        <w:jc w:val="both"/>
        <w:rPr>
          <w:rFonts w:ascii="Cambria" w:hAnsi="Cambria"/>
          <w:sz w:val="24"/>
          <w:szCs w:val="24"/>
        </w:rPr>
      </w:pPr>
      <w:r w:rsidRPr="00382D97">
        <w:rPr>
          <w:rFonts w:ascii="Cambria" w:hAnsi="Cambria"/>
          <w:sz w:val="24"/>
          <w:szCs w:val="24"/>
        </w:rPr>
        <w:t xml:space="preserve">D’un côté, </w:t>
      </w:r>
      <w:r w:rsidRPr="000752BF">
        <w:rPr>
          <w:rFonts w:ascii="Cambria" w:hAnsi="Cambria"/>
          <w:b/>
          <w:bCs/>
          <w:sz w:val="24"/>
          <w:szCs w:val="24"/>
        </w:rPr>
        <w:t xml:space="preserve">l’évaluation scientifique du risque </w:t>
      </w:r>
      <w:r>
        <w:rPr>
          <w:rFonts w:ascii="Cambria" w:hAnsi="Cambria"/>
          <w:b/>
          <w:bCs/>
          <w:sz w:val="24"/>
          <w:szCs w:val="24"/>
        </w:rPr>
        <w:t xml:space="preserve">qui </w:t>
      </w:r>
      <w:r w:rsidRPr="000752BF">
        <w:rPr>
          <w:rFonts w:ascii="Cambria" w:hAnsi="Cambria"/>
          <w:b/>
          <w:bCs/>
          <w:sz w:val="24"/>
          <w:szCs w:val="24"/>
        </w:rPr>
        <w:t>fournit des éléments objectifs</w:t>
      </w:r>
      <w:r w:rsidRPr="00382D97">
        <w:rPr>
          <w:rFonts w:ascii="Cambria" w:hAnsi="Cambria"/>
          <w:sz w:val="24"/>
          <w:szCs w:val="24"/>
        </w:rPr>
        <w:t xml:space="preserve"> : probabilité d’occurrence, gravité potentielle des dommages, identification des incertitudes (</w:t>
      </w:r>
      <w:proofErr w:type="spellStart"/>
      <w:r w:rsidRPr="00382D97">
        <w:rPr>
          <w:rFonts w:ascii="Cambria" w:hAnsi="Cambria"/>
          <w:sz w:val="24"/>
          <w:szCs w:val="24"/>
        </w:rPr>
        <w:t>Covello</w:t>
      </w:r>
      <w:proofErr w:type="spellEnd"/>
      <w:r w:rsidRPr="00382D97">
        <w:rPr>
          <w:rFonts w:ascii="Cambria" w:hAnsi="Cambria"/>
          <w:sz w:val="24"/>
          <w:szCs w:val="24"/>
        </w:rPr>
        <w:t xml:space="preserve"> &amp; </w:t>
      </w:r>
      <w:proofErr w:type="spellStart"/>
      <w:r w:rsidRPr="00382D97">
        <w:rPr>
          <w:rFonts w:ascii="Cambria" w:hAnsi="Cambria"/>
          <w:sz w:val="24"/>
          <w:szCs w:val="24"/>
        </w:rPr>
        <w:t>Merkhofer</w:t>
      </w:r>
      <w:proofErr w:type="spellEnd"/>
      <w:r w:rsidRPr="00382D97">
        <w:rPr>
          <w:rFonts w:ascii="Cambria" w:hAnsi="Cambria"/>
          <w:sz w:val="24"/>
          <w:szCs w:val="24"/>
        </w:rPr>
        <w:t xml:space="preserve">, 1993). </w:t>
      </w:r>
      <w:r w:rsidRPr="00DB3C70">
        <w:rPr>
          <w:rFonts w:ascii="Cambria" w:hAnsi="Cambria"/>
          <w:sz w:val="24"/>
          <w:szCs w:val="24"/>
        </w:rPr>
        <w:t>La science éclaire sur le niveau de danger</w:t>
      </w:r>
      <w:r>
        <w:rPr>
          <w:rFonts w:ascii="Cambria" w:hAnsi="Cambria"/>
          <w:sz w:val="24"/>
          <w:szCs w:val="24"/>
        </w:rPr>
        <w:t>.</w:t>
      </w:r>
    </w:p>
    <w:p w14:paraId="03B9953B" w14:textId="51BBD175" w:rsidR="005332B4" w:rsidRPr="00DB3C70" w:rsidRDefault="005332B4" w:rsidP="005332B4">
      <w:pPr>
        <w:pStyle w:val="Paragraphedeliste"/>
        <w:numPr>
          <w:ilvl w:val="0"/>
          <w:numId w:val="11"/>
        </w:numPr>
        <w:spacing w:before="40"/>
        <w:ind w:left="357" w:hanging="357"/>
        <w:contextualSpacing w:val="0"/>
        <w:jc w:val="both"/>
        <w:rPr>
          <w:rFonts w:ascii="Cambria" w:hAnsi="Cambria"/>
          <w:sz w:val="24"/>
          <w:szCs w:val="24"/>
        </w:rPr>
      </w:pPr>
      <w:r w:rsidRPr="00DB3C70">
        <w:rPr>
          <w:rFonts w:ascii="Cambria" w:hAnsi="Cambria"/>
          <w:sz w:val="24"/>
          <w:szCs w:val="24"/>
        </w:rPr>
        <w:t xml:space="preserve">De l’autre, </w:t>
      </w:r>
      <w:r w:rsidRPr="00DB3C70">
        <w:rPr>
          <w:rFonts w:ascii="Cambria" w:hAnsi="Cambria"/>
          <w:b/>
          <w:bCs/>
          <w:sz w:val="24"/>
          <w:szCs w:val="24"/>
        </w:rPr>
        <w:t xml:space="preserve">la décision d’acceptabilité </w:t>
      </w:r>
      <w:r>
        <w:rPr>
          <w:rFonts w:ascii="Cambria" w:hAnsi="Cambria"/>
          <w:b/>
          <w:bCs/>
          <w:sz w:val="24"/>
          <w:szCs w:val="24"/>
        </w:rPr>
        <w:t xml:space="preserve">qui </w:t>
      </w:r>
      <w:r w:rsidRPr="00DB3C70">
        <w:rPr>
          <w:rFonts w:ascii="Cambria" w:hAnsi="Cambria"/>
          <w:b/>
          <w:bCs/>
          <w:sz w:val="24"/>
          <w:szCs w:val="24"/>
        </w:rPr>
        <w:t>est publique et s’appuie sur des critères sociaux, économiques et éthiques</w:t>
      </w:r>
      <w:r w:rsidRPr="00DB3C70">
        <w:rPr>
          <w:rFonts w:ascii="Cambria" w:hAnsi="Cambria"/>
          <w:sz w:val="24"/>
          <w:szCs w:val="24"/>
        </w:rPr>
        <w:t xml:space="preserve"> : </w:t>
      </w:r>
      <w:r w:rsidR="00477358">
        <w:rPr>
          <w:rFonts w:ascii="Cambria" w:hAnsi="Cambria"/>
          <w:sz w:val="24"/>
          <w:szCs w:val="24"/>
        </w:rPr>
        <w:t>l’</w:t>
      </w:r>
      <w:r w:rsidRPr="00DB3C70">
        <w:rPr>
          <w:rFonts w:ascii="Cambria" w:hAnsi="Cambria"/>
          <w:sz w:val="24"/>
          <w:szCs w:val="24"/>
        </w:rPr>
        <w:t xml:space="preserve">équité (qui supporte le risque et qui en bénéficie ?), </w:t>
      </w:r>
      <w:r w:rsidR="00477358">
        <w:rPr>
          <w:rFonts w:ascii="Cambria" w:hAnsi="Cambria"/>
          <w:sz w:val="24"/>
          <w:szCs w:val="24"/>
        </w:rPr>
        <w:t xml:space="preserve">le </w:t>
      </w:r>
      <w:r w:rsidRPr="00DB3C70">
        <w:rPr>
          <w:rFonts w:ascii="Cambria" w:hAnsi="Cambria"/>
          <w:sz w:val="24"/>
          <w:szCs w:val="24"/>
        </w:rPr>
        <w:t xml:space="preserve">volontariat (le risque est-il choisi ou subi ?), </w:t>
      </w:r>
      <w:r w:rsidR="00477358">
        <w:rPr>
          <w:rFonts w:ascii="Cambria" w:hAnsi="Cambria"/>
          <w:sz w:val="24"/>
          <w:szCs w:val="24"/>
        </w:rPr>
        <w:t xml:space="preserve">la </w:t>
      </w:r>
      <w:r w:rsidRPr="00DB3C70">
        <w:rPr>
          <w:rFonts w:ascii="Cambria" w:hAnsi="Cambria"/>
          <w:sz w:val="24"/>
          <w:szCs w:val="24"/>
        </w:rPr>
        <w:t xml:space="preserve">confiance dans les institutions, et </w:t>
      </w:r>
      <w:r w:rsidR="00477358">
        <w:rPr>
          <w:rFonts w:ascii="Cambria" w:hAnsi="Cambria"/>
          <w:sz w:val="24"/>
          <w:szCs w:val="24"/>
        </w:rPr>
        <w:t>l’</w:t>
      </w:r>
      <w:r w:rsidRPr="00DB3C70">
        <w:rPr>
          <w:rFonts w:ascii="Cambria" w:hAnsi="Cambria"/>
          <w:sz w:val="24"/>
          <w:szCs w:val="24"/>
        </w:rPr>
        <w:t>acceptabilité culturelle (</w:t>
      </w:r>
      <w:proofErr w:type="spellStart"/>
      <w:r w:rsidRPr="00DB3C70">
        <w:rPr>
          <w:rFonts w:ascii="Cambria" w:hAnsi="Cambria"/>
          <w:sz w:val="24"/>
          <w:szCs w:val="24"/>
        </w:rPr>
        <w:t>Slovic</w:t>
      </w:r>
      <w:proofErr w:type="spellEnd"/>
      <w:r w:rsidRPr="00DB3C70">
        <w:rPr>
          <w:rFonts w:ascii="Cambria" w:hAnsi="Cambria"/>
          <w:sz w:val="24"/>
          <w:szCs w:val="24"/>
        </w:rPr>
        <w:t xml:space="preserve">, 1987 ; </w:t>
      </w:r>
      <w:proofErr w:type="spellStart"/>
      <w:r w:rsidRPr="00DB3C70">
        <w:rPr>
          <w:rFonts w:ascii="Cambria" w:hAnsi="Cambria"/>
          <w:sz w:val="24"/>
          <w:szCs w:val="24"/>
        </w:rPr>
        <w:t>Kasperson</w:t>
      </w:r>
      <w:proofErr w:type="spellEnd"/>
      <w:r w:rsidRPr="00DB3C70">
        <w:rPr>
          <w:rFonts w:ascii="Cambria" w:hAnsi="Cambria"/>
          <w:sz w:val="24"/>
          <w:szCs w:val="24"/>
        </w:rPr>
        <w:t xml:space="preserve"> et al., 1988). La décision se situe</w:t>
      </w:r>
      <w:r>
        <w:rPr>
          <w:rFonts w:ascii="Cambria" w:hAnsi="Cambria"/>
          <w:sz w:val="24"/>
          <w:szCs w:val="24"/>
        </w:rPr>
        <w:t xml:space="preserve"> donc</w:t>
      </w:r>
      <w:r w:rsidRPr="00DB3C70">
        <w:rPr>
          <w:rFonts w:ascii="Cambria" w:hAnsi="Cambria"/>
          <w:sz w:val="24"/>
          <w:szCs w:val="24"/>
        </w:rPr>
        <w:t xml:space="preserve"> à l’interface entre faits et valeurs</w:t>
      </w:r>
      <w:r>
        <w:rPr>
          <w:rFonts w:ascii="Cambria" w:hAnsi="Cambria"/>
          <w:sz w:val="24"/>
          <w:szCs w:val="24"/>
        </w:rPr>
        <w:t>.</w:t>
      </w:r>
    </w:p>
    <w:p w14:paraId="019EB2BB" w14:textId="77777777" w:rsidR="005332B4" w:rsidRDefault="005332B4" w:rsidP="005332B4">
      <w:pPr>
        <w:spacing w:before="40"/>
        <w:jc w:val="both"/>
        <w:rPr>
          <w:rFonts w:ascii="Cambria" w:hAnsi="Cambria"/>
          <w:sz w:val="24"/>
          <w:szCs w:val="24"/>
        </w:rPr>
      </w:pPr>
      <w:r w:rsidRPr="00382D97">
        <w:rPr>
          <w:rFonts w:ascii="Cambria" w:hAnsi="Cambria"/>
          <w:sz w:val="24"/>
          <w:szCs w:val="24"/>
        </w:rPr>
        <w:t xml:space="preserve">Autrement dit, </w:t>
      </w:r>
      <w:r>
        <w:rPr>
          <w:rFonts w:ascii="Cambria" w:hAnsi="Cambria"/>
          <w:sz w:val="24"/>
          <w:szCs w:val="24"/>
        </w:rPr>
        <w:t>la décision d’acceptation ne résulte</w:t>
      </w:r>
      <w:r w:rsidRPr="00382D97">
        <w:rPr>
          <w:rFonts w:ascii="Cambria" w:hAnsi="Cambria"/>
          <w:sz w:val="24"/>
          <w:szCs w:val="24"/>
        </w:rPr>
        <w:t xml:space="preserve"> pas uniquement d’une mesure objective des conséquences </w:t>
      </w:r>
      <w:r>
        <w:rPr>
          <w:rFonts w:ascii="Cambria" w:hAnsi="Cambria"/>
          <w:sz w:val="24"/>
          <w:szCs w:val="24"/>
        </w:rPr>
        <w:t xml:space="preserve">possibles </w:t>
      </w:r>
      <w:r w:rsidRPr="00382D97">
        <w:rPr>
          <w:rFonts w:ascii="Cambria" w:hAnsi="Cambria"/>
          <w:sz w:val="24"/>
          <w:szCs w:val="24"/>
        </w:rPr>
        <w:t>d’un danger, mais d’un compromis entre une évaluation scientifique et un jugement de valeur collectif</w:t>
      </w:r>
      <w:r>
        <w:rPr>
          <w:rFonts w:ascii="Cambria" w:hAnsi="Cambria"/>
          <w:sz w:val="24"/>
          <w:szCs w:val="24"/>
        </w:rPr>
        <w:t xml:space="preserve"> à un moment donné</w:t>
      </w:r>
      <w:r w:rsidRPr="00382D97">
        <w:rPr>
          <w:rFonts w:ascii="Cambria" w:hAnsi="Cambria"/>
          <w:sz w:val="24"/>
          <w:szCs w:val="24"/>
        </w:rPr>
        <w:t xml:space="preserve">. </w:t>
      </w:r>
    </w:p>
    <w:p w14:paraId="403B6F8C" w14:textId="77777777" w:rsidR="005332B4" w:rsidRDefault="005332B4" w:rsidP="005332B4">
      <w:pPr>
        <w:spacing w:before="40"/>
        <w:jc w:val="both"/>
        <w:rPr>
          <w:rFonts w:ascii="Cambria" w:hAnsi="Cambria"/>
          <w:sz w:val="24"/>
          <w:szCs w:val="24"/>
        </w:rPr>
      </w:pPr>
    </w:p>
    <w:p w14:paraId="43332FDE" w14:textId="5B610BC6" w:rsidR="005332B4" w:rsidRPr="00E01FD4" w:rsidRDefault="005332B4" w:rsidP="005332B4">
      <w:pPr>
        <w:spacing w:before="40"/>
        <w:jc w:val="both"/>
        <w:rPr>
          <w:rFonts w:ascii="Cambria" w:hAnsi="Cambria"/>
          <w:sz w:val="24"/>
          <w:szCs w:val="24"/>
        </w:rPr>
      </w:pPr>
      <w:r>
        <w:rPr>
          <w:rFonts w:ascii="Cambria" w:hAnsi="Cambria"/>
          <w:sz w:val="24"/>
          <w:szCs w:val="24"/>
        </w:rPr>
        <w:t xml:space="preserve">Ainsi, </w:t>
      </w:r>
      <w:r w:rsidRPr="00382D97">
        <w:rPr>
          <w:rFonts w:ascii="Cambria" w:hAnsi="Cambria"/>
          <w:sz w:val="24"/>
          <w:szCs w:val="24"/>
        </w:rPr>
        <w:t xml:space="preserve">l’acceptabilité renvoie à une construction sociale et culturelle </w:t>
      </w:r>
      <w:r>
        <w:rPr>
          <w:rFonts w:ascii="Cambria" w:hAnsi="Cambria"/>
          <w:sz w:val="24"/>
          <w:szCs w:val="24"/>
        </w:rPr>
        <w:t>(</w:t>
      </w:r>
      <w:r w:rsidRPr="00382D97">
        <w:rPr>
          <w:rFonts w:ascii="Cambria" w:hAnsi="Cambria"/>
          <w:sz w:val="24"/>
          <w:szCs w:val="24"/>
        </w:rPr>
        <w:t>Renn</w:t>
      </w:r>
      <w:r>
        <w:rPr>
          <w:rFonts w:ascii="Cambria" w:hAnsi="Cambria"/>
          <w:sz w:val="24"/>
          <w:szCs w:val="24"/>
        </w:rPr>
        <w:t xml:space="preserve">, </w:t>
      </w:r>
      <w:r w:rsidRPr="00382D97">
        <w:rPr>
          <w:rFonts w:ascii="Cambria" w:hAnsi="Cambria"/>
          <w:sz w:val="24"/>
          <w:szCs w:val="24"/>
        </w:rPr>
        <w:t>1992)</w:t>
      </w:r>
      <w:r>
        <w:rPr>
          <w:rFonts w:ascii="Cambria" w:hAnsi="Cambria"/>
          <w:sz w:val="24"/>
          <w:szCs w:val="24"/>
        </w:rPr>
        <w:t xml:space="preserve"> </w:t>
      </w:r>
      <w:r w:rsidRPr="00382D97">
        <w:rPr>
          <w:rFonts w:ascii="Cambria" w:hAnsi="Cambria"/>
          <w:sz w:val="24"/>
          <w:szCs w:val="24"/>
        </w:rPr>
        <w:t xml:space="preserve">: </w:t>
      </w:r>
      <w:r w:rsidRPr="000752BF">
        <w:rPr>
          <w:rFonts w:ascii="Cambria" w:hAnsi="Cambria"/>
          <w:b/>
          <w:bCs/>
          <w:sz w:val="24"/>
          <w:szCs w:val="24"/>
        </w:rPr>
        <w:t>un risque doit toujours être mis en perspective par rapport aux avantages qu’il procure</w:t>
      </w:r>
      <w:r w:rsidRPr="00382D97">
        <w:rPr>
          <w:rFonts w:ascii="Cambria" w:hAnsi="Cambria"/>
          <w:sz w:val="24"/>
          <w:szCs w:val="24"/>
        </w:rPr>
        <w:t xml:space="preserve"> (balance coût/bénéfices), aux contraintes qu’il impose et à </w:t>
      </w:r>
      <w:r w:rsidRPr="000752BF">
        <w:rPr>
          <w:rFonts w:ascii="Cambria" w:hAnsi="Cambria"/>
          <w:b/>
          <w:bCs/>
          <w:sz w:val="24"/>
          <w:szCs w:val="24"/>
        </w:rPr>
        <w:t>la manière dont il est distribué au sein de la société</w:t>
      </w:r>
      <w:r w:rsidRPr="00382D97">
        <w:rPr>
          <w:rFonts w:ascii="Cambria" w:hAnsi="Cambria"/>
          <w:sz w:val="24"/>
          <w:szCs w:val="24"/>
        </w:rPr>
        <w:t xml:space="preserve">. </w:t>
      </w:r>
      <w:r>
        <w:rPr>
          <w:rFonts w:ascii="Cambria" w:hAnsi="Cambria"/>
          <w:sz w:val="24"/>
          <w:szCs w:val="24"/>
        </w:rPr>
        <w:t>Et, c</w:t>
      </w:r>
      <w:r w:rsidRPr="00382D97">
        <w:rPr>
          <w:rFonts w:ascii="Cambria" w:hAnsi="Cambria"/>
          <w:sz w:val="24"/>
          <w:szCs w:val="24"/>
        </w:rPr>
        <w:t xml:space="preserve">omme l’ont montré </w:t>
      </w:r>
      <w:proofErr w:type="spellStart"/>
      <w:r w:rsidRPr="00382D97">
        <w:rPr>
          <w:rFonts w:ascii="Cambria" w:hAnsi="Cambria"/>
          <w:sz w:val="24"/>
          <w:szCs w:val="24"/>
        </w:rPr>
        <w:t>Kasperson</w:t>
      </w:r>
      <w:proofErr w:type="spellEnd"/>
      <w:r w:rsidRPr="00382D97">
        <w:rPr>
          <w:rFonts w:ascii="Cambria" w:hAnsi="Cambria"/>
          <w:sz w:val="24"/>
          <w:szCs w:val="24"/>
        </w:rPr>
        <w:t xml:space="preserve"> et al. (1988), </w:t>
      </w:r>
      <w:r>
        <w:rPr>
          <w:rFonts w:ascii="Cambria" w:hAnsi="Cambria"/>
          <w:sz w:val="24"/>
          <w:szCs w:val="24"/>
        </w:rPr>
        <w:t>cette</w:t>
      </w:r>
      <w:r w:rsidRPr="00382D97">
        <w:rPr>
          <w:rFonts w:ascii="Cambria" w:hAnsi="Cambria"/>
          <w:sz w:val="24"/>
          <w:szCs w:val="24"/>
        </w:rPr>
        <w:t xml:space="preserve"> perception sociale dépend de facteurs tels que la confiance </w:t>
      </w:r>
      <w:r>
        <w:rPr>
          <w:rFonts w:ascii="Cambria" w:hAnsi="Cambria"/>
          <w:sz w:val="24"/>
          <w:szCs w:val="24"/>
        </w:rPr>
        <w:t>en</w:t>
      </w:r>
      <w:r w:rsidRPr="00382D97">
        <w:rPr>
          <w:rFonts w:ascii="Cambria" w:hAnsi="Cambria"/>
          <w:sz w:val="24"/>
          <w:szCs w:val="24"/>
        </w:rPr>
        <w:t xml:space="preserve"> </w:t>
      </w:r>
      <w:r>
        <w:rPr>
          <w:rFonts w:ascii="Cambria" w:hAnsi="Cambria"/>
          <w:sz w:val="24"/>
          <w:szCs w:val="24"/>
        </w:rPr>
        <w:t>la science</w:t>
      </w:r>
      <w:r w:rsidRPr="00382D97">
        <w:rPr>
          <w:rFonts w:ascii="Cambria" w:hAnsi="Cambria"/>
          <w:sz w:val="24"/>
          <w:szCs w:val="24"/>
        </w:rPr>
        <w:t xml:space="preserve"> et les institutions chargées de l’évaluation du risque (ex : AFSCA</w:t>
      </w:r>
      <w:r w:rsidR="00B217E6">
        <w:rPr>
          <w:rStyle w:val="Appelnotedebasdep"/>
          <w:rFonts w:ascii="Cambria" w:hAnsi="Cambria"/>
          <w:sz w:val="24"/>
          <w:szCs w:val="24"/>
        </w:rPr>
        <w:footnoteReference w:id="8"/>
      </w:r>
      <w:r w:rsidRPr="00382D97">
        <w:rPr>
          <w:rFonts w:ascii="Cambria" w:hAnsi="Cambria"/>
          <w:sz w:val="24"/>
          <w:szCs w:val="24"/>
        </w:rPr>
        <w:t>, EFSA, JMPR</w:t>
      </w:r>
      <w:r w:rsidR="00B217E6">
        <w:rPr>
          <w:rStyle w:val="Appelnotedebasdep"/>
          <w:rFonts w:ascii="Cambria" w:hAnsi="Cambria"/>
          <w:sz w:val="24"/>
          <w:szCs w:val="24"/>
        </w:rPr>
        <w:footnoteReference w:id="9"/>
      </w:r>
      <w:r w:rsidRPr="00382D97">
        <w:rPr>
          <w:rFonts w:ascii="Cambria" w:hAnsi="Cambria"/>
          <w:sz w:val="24"/>
          <w:szCs w:val="24"/>
        </w:rPr>
        <w:t>, …), le sentiment d’un contrôle efficace</w:t>
      </w:r>
      <w:r>
        <w:rPr>
          <w:rFonts w:ascii="Cambria" w:hAnsi="Cambria"/>
          <w:sz w:val="24"/>
          <w:szCs w:val="24"/>
        </w:rPr>
        <w:t xml:space="preserve"> </w:t>
      </w:r>
      <w:r w:rsidRPr="00382D97">
        <w:rPr>
          <w:rFonts w:ascii="Cambria" w:hAnsi="Cambria"/>
          <w:sz w:val="24"/>
          <w:szCs w:val="24"/>
        </w:rPr>
        <w:t>du risque ou encore la justice perçue dans la répartition de</w:t>
      </w:r>
      <w:r>
        <w:rPr>
          <w:rFonts w:ascii="Cambria" w:hAnsi="Cambria"/>
          <w:sz w:val="24"/>
          <w:szCs w:val="24"/>
        </w:rPr>
        <w:t xml:space="preserve"> la charge du</w:t>
      </w:r>
      <w:r w:rsidRPr="00382D97">
        <w:rPr>
          <w:rFonts w:ascii="Cambria" w:hAnsi="Cambria"/>
          <w:sz w:val="24"/>
          <w:szCs w:val="24"/>
        </w:rPr>
        <w:t xml:space="preserve"> risque et des bénéfices. </w:t>
      </w:r>
      <w:r>
        <w:rPr>
          <w:rFonts w:ascii="Cambria" w:hAnsi="Cambria"/>
          <w:sz w:val="24"/>
          <w:szCs w:val="24"/>
        </w:rPr>
        <w:t>Ils</w:t>
      </w:r>
      <w:r w:rsidRPr="00E01FD4">
        <w:rPr>
          <w:rFonts w:ascii="Cambria" w:hAnsi="Cambria"/>
          <w:sz w:val="24"/>
          <w:szCs w:val="24"/>
        </w:rPr>
        <w:t xml:space="preserve"> distingue</w:t>
      </w:r>
      <w:r>
        <w:rPr>
          <w:rFonts w:ascii="Cambria" w:hAnsi="Cambria"/>
          <w:sz w:val="24"/>
          <w:szCs w:val="24"/>
        </w:rPr>
        <w:t>nt</w:t>
      </w:r>
      <w:r w:rsidRPr="00E01FD4">
        <w:rPr>
          <w:rFonts w:ascii="Cambria" w:hAnsi="Cambria"/>
          <w:sz w:val="24"/>
          <w:szCs w:val="24"/>
        </w:rPr>
        <w:t xml:space="preserve"> trois catégories</w:t>
      </w:r>
      <w:r>
        <w:rPr>
          <w:rFonts w:ascii="Cambria" w:hAnsi="Cambria"/>
          <w:sz w:val="24"/>
          <w:szCs w:val="24"/>
        </w:rPr>
        <w:t xml:space="preserve"> de risques</w:t>
      </w:r>
      <w:r w:rsidRPr="00E01FD4">
        <w:rPr>
          <w:rFonts w:ascii="Cambria" w:hAnsi="Cambria"/>
          <w:sz w:val="24"/>
          <w:szCs w:val="24"/>
        </w:rPr>
        <w:t xml:space="preserve"> :</w:t>
      </w:r>
    </w:p>
    <w:p w14:paraId="1DC02D12" w14:textId="77777777" w:rsidR="005332B4" w:rsidRPr="00E01FD4" w:rsidRDefault="005332B4" w:rsidP="00051F43">
      <w:pPr>
        <w:pStyle w:val="Paragraphedeliste"/>
        <w:numPr>
          <w:ilvl w:val="0"/>
          <w:numId w:val="11"/>
        </w:numPr>
        <w:spacing w:before="40"/>
        <w:ind w:left="357" w:hanging="357"/>
        <w:contextualSpacing w:val="0"/>
        <w:jc w:val="both"/>
        <w:rPr>
          <w:rFonts w:ascii="Cambria" w:hAnsi="Cambria"/>
          <w:sz w:val="24"/>
          <w:szCs w:val="24"/>
        </w:rPr>
      </w:pPr>
      <w:r>
        <w:rPr>
          <w:rFonts w:ascii="Cambria" w:hAnsi="Cambria"/>
          <w:sz w:val="24"/>
          <w:szCs w:val="24"/>
        </w:rPr>
        <w:t xml:space="preserve">Les </w:t>
      </w:r>
      <w:r w:rsidRPr="0045628A">
        <w:rPr>
          <w:rFonts w:ascii="Cambria" w:hAnsi="Cambria"/>
          <w:b/>
          <w:bCs/>
          <w:sz w:val="24"/>
          <w:szCs w:val="24"/>
        </w:rPr>
        <w:t>risques inacceptables</w:t>
      </w:r>
      <w:r w:rsidRPr="00E01FD4">
        <w:rPr>
          <w:rFonts w:ascii="Cambria" w:hAnsi="Cambria"/>
          <w:sz w:val="24"/>
          <w:szCs w:val="24"/>
        </w:rPr>
        <w:t xml:space="preserve"> : jugés trop élevés, quelle que soit la balance bénéfices/risques (ex</w:t>
      </w:r>
      <w:r>
        <w:rPr>
          <w:rFonts w:ascii="Cambria" w:hAnsi="Cambria"/>
          <w:sz w:val="24"/>
          <w:szCs w:val="24"/>
        </w:rPr>
        <w:t> :</w:t>
      </w:r>
      <w:r w:rsidRPr="00E01FD4">
        <w:rPr>
          <w:rFonts w:ascii="Cambria" w:hAnsi="Cambria"/>
          <w:sz w:val="24"/>
          <w:szCs w:val="24"/>
        </w:rPr>
        <w:t xml:space="preserve"> contamination radioactive massive).</w:t>
      </w:r>
    </w:p>
    <w:p w14:paraId="708DC1B6" w14:textId="77777777" w:rsidR="005332B4" w:rsidRPr="00E01FD4" w:rsidRDefault="005332B4" w:rsidP="00051F43">
      <w:pPr>
        <w:pStyle w:val="Paragraphedeliste"/>
        <w:numPr>
          <w:ilvl w:val="0"/>
          <w:numId w:val="11"/>
        </w:numPr>
        <w:spacing w:before="40"/>
        <w:ind w:left="357" w:hanging="357"/>
        <w:contextualSpacing w:val="0"/>
        <w:jc w:val="both"/>
        <w:rPr>
          <w:rFonts w:ascii="Cambria" w:hAnsi="Cambria"/>
          <w:sz w:val="24"/>
          <w:szCs w:val="24"/>
        </w:rPr>
      </w:pPr>
      <w:r>
        <w:rPr>
          <w:rFonts w:ascii="Cambria" w:hAnsi="Cambria"/>
          <w:sz w:val="24"/>
          <w:szCs w:val="24"/>
        </w:rPr>
        <w:t xml:space="preserve">Les </w:t>
      </w:r>
      <w:r w:rsidRPr="0045628A">
        <w:rPr>
          <w:rFonts w:ascii="Cambria" w:hAnsi="Cambria"/>
          <w:b/>
          <w:bCs/>
          <w:sz w:val="24"/>
          <w:szCs w:val="24"/>
        </w:rPr>
        <w:t>risques tolérables</w:t>
      </w:r>
      <w:r w:rsidRPr="00E01FD4">
        <w:rPr>
          <w:rFonts w:ascii="Cambria" w:hAnsi="Cambria"/>
          <w:sz w:val="24"/>
          <w:szCs w:val="24"/>
        </w:rPr>
        <w:t xml:space="preserve"> : jugés supportables si des mesures de contrôle ou de réduction sont mises en place (ex</w:t>
      </w:r>
      <w:r>
        <w:rPr>
          <w:rFonts w:ascii="Cambria" w:hAnsi="Cambria"/>
          <w:sz w:val="24"/>
          <w:szCs w:val="24"/>
        </w:rPr>
        <w:t> :</w:t>
      </w:r>
      <w:r w:rsidRPr="00E01FD4">
        <w:rPr>
          <w:rFonts w:ascii="Cambria" w:hAnsi="Cambria"/>
          <w:sz w:val="24"/>
          <w:szCs w:val="24"/>
        </w:rPr>
        <w:t xml:space="preserve"> usage encadré de pesticides).</w:t>
      </w:r>
    </w:p>
    <w:p w14:paraId="094D4979" w14:textId="77777777" w:rsidR="005332B4" w:rsidRDefault="005332B4" w:rsidP="00051F43">
      <w:pPr>
        <w:pStyle w:val="Paragraphedeliste"/>
        <w:numPr>
          <w:ilvl w:val="0"/>
          <w:numId w:val="11"/>
        </w:numPr>
        <w:spacing w:before="40"/>
        <w:ind w:left="357" w:hanging="357"/>
        <w:contextualSpacing w:val="0"/>
        <w:jc w:val="both"/>
        <w:rPr>
          <w:rFonts w:ascii="Cambria" w:hAnsi="Cambria"/>
          <w:sz w:val="24"/>
          <w:szCs w:val="24"/>
        </w:rPr>
      </w:pPr>
      <w:r>
        <w:rPr>
          <w:rFonts w:ascii="Cambria" w:hAnsi="Cambria"/>
          <w:sz w:val="24"/>
          <w:szCs w:val="24"/>
        </w:rPr>
        <w:t xml:space="preserve">Les </w:t>
      </w:r>
      <w:r w:rsidRPr="0045628A">
        <w:rPr>
          <w:rFonts w:ascii="Cambria" w:hAnsi="Cambria"/>
          <w:b/>
          <w:bCs/>
          <w:sz w:val="24"/>
          <w:szCs w:val="24"/>
        </w:rPr>
        <w:t>risques négligeables</w:t>
      </w:r>
      <w:r w:rsidRPr="00E01FD4">
        <w:rPr>
          <w:rFonts w:ascii="Cambria" w:hAnsi="Cambria"/>
          <w:sz w:val="24"/>
          <w:szCs w:val="24"/>
        </w:rPr>
        <w:t xml:space="preserve"> : si faibles qu’ils n’appellent pas d’action particulière (ex</w:t>
      </w:r>
      <w:r>
        <w:rPr>
          <w:rFonts w:ascii="Cambria" w:hAnsi="Cambria"/>
          <w:sz w:val="24"/>
          <w:szCs w:val="24"/>
        </w:rPr>
        <w:t> :</w:t>
      </w:r>
      <w:r w:rsidRPr="00E01FD4">
        <w:rPr>
          <w:rFonts w:ascii="Cambria" w:hAnsi="Cambria"/>
          <w:sz w:val="24"/>
          <w:szCs w:val="24"/>
        </w:rPr>
        <w:t xml:space="preserve"> exposition quotidienne à de très faibles doses de substances sans danger connu).</w:t>
      </w:r>
    </w:p>
    <w:p w14:paraId="75085F3A" w14:textId="77777777" w:rsidR="005332B4" w:rsidRDefault="005332B4" w:rsidP="005332B4">
      <w:pPr>
        <w:spacing w:before="40"/>
        <w:jc w:val="both"/>
        <w:rPr>
          <w:rFonts w:ascii="Cambria" w:hAnsi="Cambria"/>
          <w:sz w:val="24"/>
          <w:szCs w:val="24"/>
        </w:rPr>
      </w:pPr>
      <w:r>
        <w:rPr>
          <w:rFonts w:ascii="Cambria" w:hAnsi="Cambria"/>
          <w:sz w:val="24"/>
          <w:szCs w:val="24"/>
        </w:rPr>
        <w:t>C</w:t>
      </w:r>
      <w:r w:rsidRPr="00DB3C70">
        <w:rPr>
          <w:rFonts w:ascii="Cambria" w:hAnsi="Cambria"/>
          <w:sz w:val="24"/>
          <w:szCs w:val="24"/>
        </w:rPr>
        <w:t xml:space="preserve">’est la société, à travers ses institutions, ses normes et ses débats, qui décide où placer le curseur entre </w:t>
      </w:r>
      <w:r>
        <w:rPr>
          <w:rFonts w:ascii="Cambria" w:hAnsi="Cambria"/>
          <w:sz w:val="24"/>
          <w:szCs w:val="24"/>
        </w:rPr>
        <w:t>ces trois catégories</w:t>
      </w:r>
      <w:r w:rsidRPr="00DB3C70">
        <w:rPr>
          <w:rFonts w:ascii="Cambria" w:hAnsi="Cambria"/>
          <w:sz w:val="24"/>
          <w:szCs w:val="24"/>
        </w:rPr>
        <w:t xml:space="preserve"> (Renn, 2008 ; Peretti-Watel, 2000).</w:t>
      </w:r>
      <w:r>
        <w:rPr>
          <w:rFonts w:ascii="Cambria" w:hAnsi="Cambria"/>
          <w:sz w:val="24"/>
          <w:szCs w:val="24"/>
        </w:rPr>
        <w:t xml:space="preserve"> </w:t>
      </w:r>
    </w:p>
    <w:p w14:paraId="5D3A1DB8" w14:textId="77777777" w:rsidR="005332B4" w:rsidRDefault="005332B4" w:rsidP="005332B4">
      <w:pPr>
        <w:spacing w:before="40"/>
        <w:jc w:val="both"/>
        <w:rPr>
          <w:rFonts w:ascii="Cambria" w:hAnsi="Cambria"/>
          <w:sz w:val="24"/>
          <w:szCs w:val="24"/>
        </w:rPr>
      </w:pPr>
    </w:p>
    <w:p w14:paraId="1992FA2E" w14:textId="17B5CFD4" w:rsidR="005332B4" w:rsidRDefault="005332B4" w:rsidP="005332B4">
      <w:pPr>
        <w:spacing w:before="40"/>
        <w:jc w:val="both"/>
        <w:rPr>
          <w:rFonts w:ascii="Cambria" w:hAnsi="Cambria"/>
          <w:sz w:val="24"/>
          <w:szCs w:val="24"/>
        </w:rPr>
      </w:pPr>
      <w:r w:rsidRPr="00EA70EB">
        <w:rPr>
          <w:rFonts w:ascii="Cambria" w:hAnsi="Cambria"/>
          <w:sz w:val="24"/>
          <w:szCs w:val="24"/>
        </w:rPr>
        <w:t xml:space="preserve">Au-delà de cette catégorisation, Renn (2008) propose le concept de « </w:t>
      </w:r>
      <w:proofErr w:type="spellStart"/>
      <w:r w:rsidRPr="003B7BF5">
        <w:rPr>
          <w:rFonts w:ascii="Cambria" w:hAnsi="Cambria"/>
          <w:i/>
          <w:iCs/>
          <w:sz w:val="24"/>
          <w:szCs w:val="24"/>
        </w:rPr>
        <w:t>risk</w:t>
      </w:r>
      <w:proofErr w:type="spellEnd"/>
      <w:r w:rsidRPr="003B7BF5">
        <w:rPr>
          <w:rFonts w:ascii="Cambria" w:hAnsi="Cambria"/>
          <w:i/>
          <w:iCs/>
          <w:sz w:val="24"/>
          <w:szCs w:val="24"/>
        </w:rPr>
        <w:t xml:space="preserve"> </w:t>
      </w:r>
      <w:proofErr w:type="spellStart"/>
      <w:r w:rsidRPr="003B7BF5">
        <w:rPr>
          <w:rFonts w:ascii="Cambria" w:hAnsi="Cambria"/>
          <w:i/>
          <w:iCs/>
          <w:sz w:val="24"/>
          <w:szCs w:val="24"/>
        </w:rPr>
        <w:t>governance</w:t>
      </w:r>
      <w:proofErr w:type="spellEnd"/>
      <w:r w:rsidRPr="00EA70EB">
        <w:rPr>
          <w:rFonts w:ascii="Cambria" w:hAnsi="Cambria"/>
          <w:sz w:val="24"/>
          <w:szCs w:val="24"/>
        </w:rPr>
        <w:t xml:space="preserve"> ». Celui-ci vise à articuler l’évaluation scientifique, la délibération sociale et la décision politique dans un cadre intégré. L’objectif est de prendre en compte non seulement les données scientifiques mais aussi les valeurs, les incertitudes et les préférences collectives. La « </w:t>
      </w:r>
      <w:r w:rsidRPr="003B7BF5">
        <w:rPr>
          <w:rFonts w:ascii="Cambria" w:hAnsi="Cambria"/>
          <w:i/>
          <w:iCs/>
          <w:sz w:val="24"/>
          <w:szCs w:val="24"/>
        </w:rPr>
        <w:t>gouvernance du risque</w:t>
      </w:r>
      <w:r w:rsidRPr="00EA70EB">
        <w:rPr>
          <w:rFonts w:ascii="Cambria" w:hAnsi="Cambria"/>
          <w:sz w:val="24"/>
          <w:szCs w:val="24"/>
        </w:rPr>
        <w:t xml:space="preserve"> » </w:t>
      </w:r>
      <w:r w:rsidRPr="003B7BF5">
        <w:rPr>
          <w:rFonts w:ascii="Cambria" w:hAnsi="Cambria"/>
          <w:b/>
          <w:bCs/>
          <w:sz w:val="24"/>
          <w:szCs w:val="24"/>
        </w:rPr>
        <w:t>implique une participation élargie</w:t>
      </w:r>
      <w:r w:rsidRPr="00EA70EB">
        <w:rPr>
          <w:rFonts w:ascii="Cambria" w:hAnsi="Cambria"/>
          <w:sz w:val="24"/>
          <w:szCs w:val="24"/>
        </w:rPr>
        <w:t>, où citoyens, experts, décideurs publics et acteurs économiques discutent ensemble des conditions d’acceptabilité</w:t>
      </w:r>
      <w:r w:rsidR="00660A96">
        <w:rPr>
          <w:rFonts w:ascii="Cambria" w:hAnsi="Cambria"/>
          <w:sz w:val="24"/>
          <w:szCs w:val="24"/>
        </w:rPr>
        <w:t xml:space="preserve">, ces derniers étant alors en capacité de </w:t>
      </w:r>
      <w:r w:rsidR="00660A96" w:rsidRPr="00660A96">
        <w:rPr>
          <w:rFonts w:ascii="Cambria" w:hAnsi="Cambria"/>
          <w:b/>
          <w:bCs/>
          <w:sz w:val="24"/>
          <w:szCs w:val="24"/>
        </w:rPr>
        <w:t xml:space="preserve">partager leur perception du </w:t>
      </w:r>
      <w:r w:rsidR="00660A96" w:rsidRPr="00660A96">
        <w:rPr>
          <w:rFonts w:ascii="Cambria" w:hAnsi="Cambria"/>
          <w:b/>
          <w:bCs/>
          <w:sz w:val="24"/>
          <w:szCs w:val="24"/>
        </w:rPr>
        <w:lastRenderedPageBreak/>
        <w:t>risque</w:t>
      </w:r>
      <w:r w:rsidRPr="00EA70EB">
        <w:rPr>
          <w:rFonts w:ascii="Cambria" w:hAnsi="Cambria"/>
          <w:sz w:val="24"/>
          <w:szCs w:val="24"/>
        </w:rPr>
        <w:t>. Elle souligne que la légitimité de la décision ne dépend pas uniquement de sa rationalité technique, mais aussi du processus démocratique qui la fonde.</w:t>
      </w:r>
      <w:r>
        <w:rPr>
          <w:rFonts w:ascii="Cambria" w:hAnsi="Cambria"/>
          <w:sz w:val="24"/>
          <w:szCs w:val="24"/>
        </w:rPr>
        <w:t xml:space="preserve"> </w:t>
      </w:r>
      <w:r w:rsidRPr="00E13C4A">
        <w:rPr>
          <w:rFonts w:ascii="Cambria" w:hAnsi="Cambria"/>
          <w:sz w:val="24"/>
          <w:szCs w:val="24"/>
        </w:rPr>
        <w:t>La notion d’acceptabilité implique donc</w:t>
      </w:r>
      <w:r>
        <w:rPr>
          <w:rFonts w:ascii="Cambria" w:hAnsi="Cambria"/>
          <w:sz w:val="24"/>
          <w:szCs w:val="24"/>
        </w:rPr>
        <w:t xml:space="preserve"> à la fois un sentiment d’équité face au risque et</w:t>
      </w:r>
      <w:r w:rsidRPr="00E13C4A">
        <w:rPr>
          <w:rFonts w:ascii="Cambria" w:hAnsi="Cambria"/>
          <w:sz w:val="24"/>
          <w:szCs w:val="24"/>
        </w:rPr>
        <w:t xml:space="preserve"> une forme de hiérarchisation collective des risques qui dépend de la connaissance scientifique et des représentations sociales</w:t>
      </w:r>
      <w:r>
        <w:rPr>
          <w:rFonts w:ascii="Cambria" w:hAnsi="Cambria"/>
          <w:sz w:val="24"/>
          <w:szCs w:val="24"/>
        </w:rPr>
        <w:t xml:space="preserve"> (ex : </w:t>
      </w:r>
      <w:r w:rsidRPr="008F56A9">
        <w:rPr>
          <w:rFonts w:ascii="Cambria" w:hAnsi="Cambria"/>
          <w:sz w:val="24"/>
          <w:szCs w:val="24"/>
        </w:rPr>
        <w:t>le risque routier est largement accepté dans nos sociétés parce que la mobilité est considérée comme essentielle</w:t>
      </w:r>
      <w:r>
        <w:rPr>
          <w:rFonts w:ascii="Cambria" w:hAnsi="Cambria"/>
          <w:sz w:val="24"/>
          <w:szCs w:val="24"/>
        </w:rPr>
        <w:t>)</w:t>
      </w:r>
      <w:r w:rsidRPr="00E13C4A">
        <w:rPr>
          <w:rFonts w:ascii="Cambria" w:hAnsi="Cambria"/>
          <w:sz w:val="24"/>
          <w:szCs w:val="24"/>
        </w:rPr>
        <w:t>.</w:t>
      </w:r>
    </w:p>
    <w:p w14:paraId="3694847D" w14:textId="77777777" w:rsidR="005332B4" w:rsidRDefault="005332B4" w:rsidP="005332B4">
      <w:pPr>
        <w:jc w:val="both"/>
        <w:rPr>
          <w:rFonts w:ascii="Cambria" w:hAnsi="Cambria"/>
          <w:sz w:val="24"/>
          <w:szCs w:val="24"/>
        </w:rPr>
      </w:pPr>
    </w:p>
    <w:p w14:paraId="7AAB77B6" w14:textId="77777777" w:rsidR="005332B4" w:rsidRPr="00040BFA" w:rsidRDefault="005332B4" w:rsidP="005332B4">
      <w:pPr>
        <w:ind w:left="851" w:hanging="425"/>
        <w:jc w:val="both"/>
        <w:rPr>
          <w:rFonts w:ascii="Cambria" w:hAnsi="Cambria"/>
          <w:i/>
          <w:iCs/>
          <w:sz w:val="24"/>
          <w:szCs w:val="24"/>
        </w:rPr>
      </w:pPr>
      <w:r w:rsidRPr="00040BFA">
        <w:rPr>
          <w:rFonts w:ascii="Cambria" w:hAnsi="Cambria"/>
          <w:i/>
          <w:iCs/>
          <w:sz w:val="24"/>
          <w:szCs w:val="24"/>
        </w:rPr>
        <w:t>Schéma explicatif de l’acceptabilité du risque</w:t>
      </w:r>
      <w:r>
        <w:rPr>
          <w:rFonts w:ascii="Cambria" w:hAnsi="Cambria"/>
          <w:i/>
          <w:iCs/>
          <w:sz w:val="24"/>
          <w:szCs w:val="24"/>
        </w:rPr>
        <w:t> :</w:t>
      </w:r>
    </w:p>
    <w:p w14:paraId="1F1C8C30" w14:textId="77777777" w:rsidR="005332B4" w:rsidRPr="00040BFA" w:rsidRDefault="005332B4" w:rsidP="005332B4">
      <w:pPr>
        <w:ind w:left="851"/>
        <w:rPr>
          <w:rFonts w:ascii="Cambria" w:hAnsi="Cambria"/>
          <w:sz w:val="24"/>
          <w:szCs w:val="24"/>
        </w:rPr>
      </w:pPr>
    </w:p>
    <w:p w14:paraId="253AC5B6" w14:textId="77777777" w:rsidR="005332B4" w:rsidRPr="00040BFA" w:rsidRDefault="005332B4" w:rsidP="005332B4">
      <w:pPr>
        <w:ind w:left="851" w:hanging="425"/>
        <w:rPr>
          <w:rFonts w:ascii="Cambria" w:hAnsi="Cambria"/>
          <w:b/>
          <w:bCs/>
          <w:i/>
          <w:iCs/>
          <w:sz w:val="24"/>
          <w:szCs w:val="24"/>
        </w:rPr>
      </w:pPr>
      <w:r w:rsidRPr="00040BFA">
        <w:rPr>
          <w:rFonts w:ascii="Cambria" w:hAnsi="Cambria"/>
          <w:b/>
          <w:bCs/>
          <w:i/>
          <w:iCs/>
          <w:sz w:val="24"/>
          <w:szCs w:val="24"/>
        </w:rPr>
        <w:t>Évaluation scientifique (objectivation du risque)</w:t>
      </w:r>
    </w:p>
    <w:p w14:paraId="5ABF9A67" w14:textId="77777777" w:rsidR="005332B4" w:rsidRPr="00040BFA" w:rsidRDefault="005332B4" w:rsidP="005332B4">
      <w:pPr>
        <w:ind w:left="851"/>
        <w:rPr>
          <w:rFonts w:ascii="Cambria" w:hAnsi="Cambria"/>
          <w:sz w:val="8"/>
          <w:szCs w:val="8"/>
        </w:rPr>
      </w:pPr>
    </w:p>
    <w:p w14:paraId="03933F9B" w14:textId="77777777" w:rsidR="005332B4" w:rsidRPr="00D87AD4" w:rsidRDefault="005332B4" w:rsidP="005332B4">
      <w:pPr>
        <w:pStyle w:val="Paragraphedeliste"/>
        <w:numPr>
          <w:ilvl w:val="0"/>
          <w:numId w:val="16"/>
        </w:numPr>
        <w:rPr>
          <w:rFonts w:ascii="Cambria" w:hAnsi="Cambria"/>
          <w:sz w:val="24"/>
          <w:szCs w:val="24"/>
        </w:rPr>
      </w:pPr>
      <w:r w:rsidRPr="00D87AD4">
        <w:rPr>
          <w:rFonts w:ascii="Cambria" w:hAnsi="Cambria"/>
          <w:sz w:val="24"/>
          <w:szCs w:val="24"/>
        </w:rPr>
        <w:t>Probabilité d’occurrence</w:t>
      </w:r>
      <w:r>
        <w:rPr>
          <w:rFonts w:ascii="Cambria" w:hAnsi="Cambria"/>
          <w:sz w:val="24"/>
          <w:szCs w:val="24"/>
        </w:rPr>
        <w:t xml:space="preserve"> (de rare à systématique)</w:t>
      </w:r>
      <w:r w:rsidRPr="00D87AD4">
        <w:rPr>
          <w:rFonts w:ascii="Cambria" w:hAnsi="Cambria"/>
          <w:sz w:val="24"/>
          <w:szCs w:val="24"/>
        </w:rPr>
        <w:t xml:space="preserve">            </w:t>
      </w:r>
    </w:p>
    <w:p w14:paraId="42FBDD26" w14:textId="77777777" w:rsidR="005332B4" w:rsidRPr="00D87AD4" w:rsidRDefault="005332B4" w:rsidP="005332B4">
      <w:pPr>
        <w:pStyle w:val="Paragraphedeliste"/>
        <w:numPr>
          <w:ilvl w:val="0"/>
          <w:numId w:val="16"/>
        </w:numPr>
        <w:rPr>
          <w:rFonts w:ascii="Cambria" w:hAnsi="Cambria"/>
          <w:sz w:val="24"/>
          <w:szCs w:val="24"/>
        </w:rPr>
      </w:pPr>
      <w:r w:rsidRPr="00D87AD4">
        <w:rPr>
          <w:rFonts w:ascii="Cambria" w:hAnsi="Cambria"/>
          <w:sz w:val="24"/>
          <w:szCs w:val="24"/>
        </w:rPr>
        <w:t>Gravité</w:t>
      </w:r>
      <w:r>
        <w:rPr>
          <w:rFonts w:ascii="Cambria" w:hAnsi="Cambria"/>
          <w:sz w:val="24"/>
          <w:szCs w:val="24"/>
        </w:rPr>
        <w:t xml:space="preserve">/réversibilité </w:t>
      </w:r>
      <w:r w:rsidRPr="00D87AD4">
        <w:rPr>
          <w:rFonts w:ascii="Cambria" w:hAnsi="Cambria"/>
          <w:sz w:val="24"/>
          <w:szCs w:val="24"/>
        </w:rPr>
        <w:t>des effets (santé, environnement)</w:t>
      </w:r>
    </w:p>
    <w:p w14:paraId="535FCB5A" w14:textId="77777777" w:rsidR="005332B4" w:rsidRPr="00D87AD4" w:rsidRDefault="005332B4" w:rsidP="005332B4">
      <w:pPr>
        <w:pStyle w:val="Paragraphedeliste"/>
        <w:numPr>
          <w:ilvl w:val="0"/>
          <w:numId w:val="16"/>
        </w:numPr>
        <w:rPr>
          <w:rFonts w:ascii="Cambria" w:hAnsi="Cambria"/>
          <w:sz w:val="24"/>
          <w:szCs w:val="24"/>
        </w:rPr>
      </w:pPr>
      <w:r w:rsidRPr="00D87AD4">
        <w:rPr>
          <w:rFonts w:ascii="Cambria" w:hAnsi="Cambria"/>
          <w:sz w:val="24"/>
          <w:szCs w:val="24"/>
        </w:rPr>
        <w:t>Incertitudes scientifiques</w:t>
      </w:r>
      <w:r>
        <w:rPr>
          <w:rFonts w:ascii="Cambria" w:hAnsi="Cambria"/>
          <w:sz w:val="24"/>
          <w:szCs w:val="24"/>
        </w:rPr>
        <w:t xml:space="preserve"> (faiblesse/robustesse des scénarios)</w:t>
      </w:r>
      <w:r w:rsidRPr="00D87AD4">
        <w:rPr>
          <w:rFonts w:ascii="Cambria" w:hAnsi="Cambria"/>
          <w:sz w:val="24"/>
          <w:szCs w:val="24"/>
        </w:rPr>
        <w:t xml:space="preserve">            </w:t>
      </w:r>
    </w:p>
    <w:p w14:paraId="1D091FA7" w14:textId="77777777" w:rsidR="005332B4" w:rsidRDefault="005332B4" w:rsidP="005332B4">
      <w:pPr>
        <w:tabs>
          <w:tab w:val="left" w:pos="1843"/>
        </w:tabs>
        <w:ind w:left="851"/>
        <w:rPr>
          <w:rFonts w:ascii="Cambria" w:hAnsi="Cambria"/>
          <w:sz w:val="24"/>
          <w:szCs w:val="24"/>
        </w:rPr>
      </w:pPr>
      <w:r>
        <w:rPr>
          <w:rFonts w:ascii="Cambria" w:hAnsi="Cambria"/>
          <w:noProof/>
          <w:sz w:val="24"/>
          <w:szCs w:val="24"/>
        </w:rPr>
        <mc:AlternateContent>
          <mc:Choice Requires="wps">
            <w:drawing>
              <wp:anchor distT="0" distB="0" distL="114300" distR="114300" simplePos="0" relativeHeight="251659264" behindDoc="0" locked="0" layoutInCell="1" allowOverlap="1" wp14:anchorId="06121E92" wp14:editId="002B8B3A">
                <wp:simplePos x="0" y="0"/>
                <wp:positionH relativeFrom="column">
                  <wp:posOffset>1452880</wp:posOffset>
                </wp:positionH>
                <wp:positionV relativeFrom="paragraph">
                  <wp:posOffset>45085</wp:posOffset>
                </wp:positionV>
                <wp:extent cx="361950" cy="400050"/>
                <wp:effectExtent l="19050" t="0" r="19050" b="38100"/>
                <wp:wrapNone/>
                <wp:docPr id="1887546310" name="Flèche : bas 4"/>
                <wp:cNvGraphicFramePr/>
                <a:graphic xmlns:a="http://schemas.openxmlformats.org/drawingml/2006/main">
                  <a:graphicData uri="http://schemas.microsoft.com/office/word/2010/wordprocessingShape">
                    <wps:wsp>
                      <wps:cNvSpPr/>
                      <wps:spPr>
                        <a:xfrm>
                          <a:off x="0" y="0"/>
                          <a:ext cx="361950" cy="400050"/>
                        </a:xfrm>
                        <a:prstGeom prst="downArrow">
                          <a:avLst/>
                        </a:prstGeom>
                        <a:solidFill>
                          <a:schemeClr val="accent2">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9C44AF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 bas 4" o:spid="_x0000_s1026" type="#_x0000_t67" style="position:absolute;margin-left:114.4pt;margin-top:3.55pt;width:28.5pt;height:3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" adj="11829" fillcolor="#f1a983 [1941]" strokecolor="#030e13 [484]" strokeweight="1pt"/>
            </w:pict>
          </mc:Fallback>
        </mc:AlternateContent>
      </w:r>
    </w:p>
    <w:p w14:paraId="021008FD" w14:textId="77777777" w:rsidR="005332B4" w:rsidRPr="00040BFA" w:rsidRDefault="005332B4" w:rsidP="005332B4">
      <w:pPr>
        <w:ind w:left="851"/>
        <w:rPr>
          <w:rFonts w:ascii="Cambria" w:hAnsi="Cambria"/>
          <w:sz w:val="24"/>
          <w:szCs w:val="24"/>
        </w:rPr>
      </w:pPr>
    </w:p>
    <w:p w14:paraId="3C3571AE" w14:textId="77777777" w:rsidR="005332B4" w:rsidRDefault="005332B4" w:rsidP="005332B4">
      <w:pPr>
        <w:ind w:left="851"/>
        <w:rPr>
          <w:rFonts w:ascii="Cambria" w:hAnsi="Cambria"/>
          <w:sz w:val="24"/>
          <w:szCs w:val="24"/>
        </w:rPr>
      </w:pPr>
    </w:p>
    <w:p w14:paraId="6956FAA6" w14:textId="77777777" w:rsidR="005332B4" w:rsidRPr="00040BFA" w:rsidRDefault="005332B4" w:rsidP="005332B4">
      <w:pPr>
        <w:ind w:left="851" w:hanging="425"/>
        <w:rPr>
          <w:rFonts w:ascii="Cambria" w:hAnsi="Cambria"/>
          <w:b/>
          <w:bCs/>
          <w:i/>
          <w:iCs/>
          <w:sz w:val="24"/>
          <w:szCs w:val="24"/>
        </w:rPr>
      </w:pPr>
      <w:r w:rsidRPr="00040BFA">
        <w:rPr>
          <w:rFonts w:ascii="Cambria" w:hAnsi="Cambria"/>
          <w:b/>
          <w:bCs/>
          <w:i/>
          <w:iCs/>
          <w:sz w:val="24"/>
          <w:szCs w:val="24"/>
        </w:rPr>
        <w:t>Mise en perspective (dimensions socio-politiques)</w:t>
      </w:r>
    </w:p>
    <w:p w14:paraId="48DAAC5D" w14:textId="77777777" w:rsidR="005332B4" w:rsidRPr="00040BFA" w:rsidRDefault="005332B4" w:rsidP="005332B4">
      <w:pPr>
        <w:ind w:left="851"/>
        <w:rPr>
          <w:rFonts w:ascii="Cambria" w:hAnsi="Cambria"/>
          <w:sz w:val="8"/>
          <w:szCs w:val="8"/>
        </w:rPr>
      </w:pPr>
      <w:r w:rsidRPr="00040BFA">
        <w:rPr>
          <w:rFonts w:ascii="Cambria" w:hAnsi="Cambria"/>
          <w:sz w:val="24"/>
          <w:szCs w:val="24"/>
        </w:rPr>
        <w:t xml:space="preserve">      </w:t>
      </w:r>
    </w:p>
    <w:p w14:paraId="08134182" w14:textId="77777777" w:rsidR="005332B4" w:rsidRPr="00040BFA" w:rsidRDefault="005332B4" w:rsidP="005332B4">
      <w:pPr>
        <w:pStyle w:val="Paragraphedeliste"/>
        <w:numPr>
          <w:ilvl w:val="0"/>
          <w:numId w:val="16"/>
        </w:numPr>
        <w:rPr>
          <w:rFonts w:ascii="Cambria" w:hAnsi="Cambria"/>
          <w:sz w:val="24"/>
          <w:szCs w:val="24"/>
        </w:rPr>
      </w:pPr>
      <w:r w:rsidRPr="00040BFA">
        <w:rPr>
          <w:rFonts w:ascii="Cambria" w:hAnsi="Cambria"/>
          <w:sz w:val="24"/>
          <w:szCs w:val="24"/>
        </w:rPr>
        <w:t xml:space="preserve">Bénéfices économiques et sociaux           </w:t>
      </w:r>
    </w:p>
    <w:p w14:paraId="65C4C3E8" w14:textId="77777777" w:rsidR="005332B4" w:rsidRPr="00040BFA" w:rsidRDefault="005332B4" w:rsidP="005332B4">
      <w:pPr>
        <w:pStyle w:val="Paragraphedeliste"/>
        <w:numPr>
          <w:ilvl w:val="0"/>
          <w:numId w:val="16"/>
        </w:numPr>
        <w:rPr>
          <w:rFonts w:ascii="Cambria" w:hAnsi="Cambria"/>
          <w:sz w:val="24"/>
          <w:szCs w:val="24"/>
        </w:rPr>
      </w:pPr>
      <w:r w:rsidRPr="00040BFA">
        <w:rPr>
          <w:rFonts w:ascii="Cambria" w:hAnsi="Cambria"/>
          <w:sz w:val="24"/>
          <w:szCs w:val="24"/>
        </w:rPr>
        <w:t xml:space="preserve">Alternatives disponibles                    </w:t>
      </w:r>
    </w:p>
    <w:p w14:paraId="489C9783" w14:textId="77777777" w:rsidR="005332B4" w:rsidRPr="00040BFA" w:rsidRDefault="005332B4" w:rsidP="005332B4">
      <w:pPr>
        <w:pStyle w:val="Paragraphedeliste"/>
        <w:numPr>
          <w:ilvl w:val="0"/>
          <w:numId w:val="16"/>
        </w:numPr>
        <w:rPr>
          <w:rFonts w:ascii="Cambria" w:hAnsi="Cambria"/>
          <w:sz w:val="24"/>
          <w:szCs w:val="24"/>
        </w:rPr>
      </w:pPr>
      <w:r w:rsidRPr="00040BFA">
        <w:rPr>
          <w:rFonts w:ascii="Cambria" w:hAnsi="Cambria"/>
          <w:sz w:val="24"/>
          <w:szCs w:val="24"/>
        </w:rPr>
        <w:t xml:space="preserve">Principe de précaution / prévention    </w:t>
      </w:r>
    </w:p>
    <w:p w14:paraId="3A6D5C93" w14:textId="77777777" w:rsidR="005332B4" w:rsidRPr="00040BFA" w:rsidRDefault="005332B4" w:rsidP="005332B4">
      <w:pPr>
        <w:pStyle w:val="Paragraphedeliste"/>
        <w:numPr>
          <w:ilvl w:val="0"/>
          <w:numId w:val="16"/>
        </w:numPr>
        <w:rPr>
          <w:rFonts w:ascii="Cambria" w:hAnsi="Cambria"/>
          <w:sz w:val="24"/>
          <w:szCs w:val="24"/>
        </w:rPr>
      </w:pPr>
      <w:r w:rsidRPr="00040BFA">
        <w:rPr>
          <w:rFonts w:ascii="Cambria" w:hAnsi="Cambria"/>
          <w:sz w:val="24"/>
          <w:szCs w:val="24"/>
        </w:rPr>
        <w:t>Équité (qui est exposé</w:t>
      </w:r>
      <w:r>
        <w:rPr>
          <w:rFonts w:ascii="Cambria" w:hAnsi="Cambria"/>
          <w:sz w:val="24"/>
          <w:szCs w:val="24"/>
        </w:rPr>
        <w:t xml:space="preserve">/subit ? </w:t>
      </w:r>
      <w:r w:rsidRPr="00040BFA">
        <w:rPr>
          <w:rFonts w:ascii="Cambria" w:hAnsi="Cambria"/>
          <w:sz w:val="24"/>
          <w:szCs w:val="24"/>
        </w:rPr>
        <w:t xml:space="preserve">qui bénéficie ?)    </w:t>
      </w:r>
    </w:p>
    <w:p w14:paraId="10854108" w14:textId="77777777" w:rsidR="005332B4" w:rsidRPr="00040BFA" w:rsidRDefault="005332B4" w:rsidP="005332B4">
      <w:pPr>
        <w:pStyle w:val="Paragraphedeliste"/>
        <w:numPr>
          <w:ilvl w:val="0"/>
          <w:numId w:val="16"/>
        </w:numPr>
        <w:rPr>
          <w:rFonts w:ascii="Cambria" w:hAnsi="Cambria"/>
          <w:sz w:val="24"/>
          <w:szCs w:val="24"/>
        </w:rPr>
      </w:pPr>
      <w:r w:rsidRPr="00040BFA">
        <w:rPr>
          <w:rFonts w:ascii="Cambria" w:hAnsi="Cambria"/>
          <w:sz w:val="24"/>
          <w:szCs w:val="24"/>
        </w:rPr>
        <w:t xml:space="preserve">Confiance dans les </w:t>
      </w:r>
      <w:r>
        <w:rPr>
          <w:rFonts w:ascii="Cambria" w:hAnsi="Cambria"/>
          <w:sz w:val="24"/>
          <w:szCs w:val="24"/>
        </w:rPr>
        <w:t xml:space="preserve">scientifiques et les </w:t>
      </w:r>
      <w:r w:rsidRPr="00040BFA">
        <w:rPr>
          <w:rFonts w:ascii="Cambria" w:hAnsi="Cambria"/>
          <w:sz w:val="24"/>
          <w:szCs w:val="24"/>
        </w:rPr>
        <w:t xml:space="preserve">institutions           </w:t>
      </w:r>
    </w:p>
    <w:p w14:paraId="631C8A46" w14:textId="77777777" w:rsidR="005332B4" w:rsidRPr="00040BFA" w:rsidRDefault="005332B4" w:rsidP="005332B4">
      <w:pPr>
        <w:pStyle w:val="Paragraphedeliste"/>
        <w:numPr>
          <w:ilvl w:val="0"/>
          <w:numId w:val="16"/>
        </w:numPr>
        <w:rPr>
          <w:rFonts w:ascii="Cambria" w:hAnsi="Cambria"/>
          <w:sz w:val="24"/>
          <w:szCs w:val="24"/>
        </w:rPr>
      </w:pPr>
      <w:r w:rsidRPr="00040BFA">
        <w:rPr>
          <w:rFonts w:ascii="Cambria" w:hAnsi="Cambria"/>
          <w:sz w:val="24"/>
          <w:szCs w:val="24"/>
        </w:rPr>
        <w:t xml:space="preserve">Valeurs culturelles et perceptions              </w:t>
      </w:r>
    </w:p>
    <w:p w14:paraId="58F18C60" w14:textId="77777777" w:rsidR="005332B4" w:rsidRDefault="005332B4" w:rsidP="005332B4">
      <w:pPr>
        <w:ind w:left="851"/>
        <w:rPr>
          <w:rFonts w:ascii="Cambria" w:hAnsi="Cambria"/>
          <w:sz w:val="24"/>
          <w:szCs w:val="24"/>
        </w:rPr>
      </w:pPr>
      <w:r>
        <w:rPr>
          <w:rFonts w:ascii="Cambria" w:hAnsi="Cambria"/>
          <w:noProof/>
          <w:sz w:val="24"/>
          <w:szCs w:val="24"/>
        </w:rPr>
        <mc:AlternateContent>
          <mc:Choice Requires="wps">
            <w:drawing>
              <wp:anchor distT="0" distB="0" distL="114300" distR="114300" simplePos="0" relativeHeight="251660288" behindDoc="0" locked="0" layoutInCell="1" allowOverlap="1" wp14:anchorId="2188EECA" wp14:editId="1D3D7023">
                <wp:simplePos x="0" y="0"/>
                <wp:positionH relativeFrom="column">
                  <wp:posOffset>1433830</wp:posOffset>
                </wp:positionH>
                <wp:positionV relativeFrom="paragraph">
                  <wp:posOffset>56515</wp:posOffset>
                </wp:positionV>
                <wp:extent cx="361950" cy="400050"/>
                <wp:effectExtent l="19050" t="0" r="19050" b="38100"/>
                <wp:wrapNone/>
                <wp:docPr id="406204692" name="Flèche : bas 4"/>
                <wp:cNvGraphicFramePr/>
                <a:graphic xmlns:a="http://schemas.openxmlformats.org/drawingml/2006/main">
                  <a:graphicData uri="http://schemas.microsoft.com/office/word/2010/wordprocessingShape">
                    <wps:wsp>
                      <wps:cNvSpPr/>
                      <wps:spPr>
                        <a:xfrm>
                          <a:off x="0" y="0"/>
                          <a:ext cx="361950" cy="400050"/>
                        </a:xfrm>
                        <a:prstGeom prst="downArrow">
                          <a:avLst/>
                        </a:prstGeom>
                        <a:solidFill>
                          <a:schemeClr val="accent2">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D045C19" id="Flèche : bas 4" o:spid="_x0000_s1026" type="#_x0000_t67" style="position:absolute;margin-left:112.9pt;margin-top:4.45pt;width:28.5pt;height:3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" adj="11829" fillcolor="#f1a983 [1941]" strokecolor="#030e13 [484]" strokeweight="1pt"/>
            </w:pict>
          </mc:Fallback>
        </mc:AlternateContent>
      </w:r>
    </w:p>
    <w:p w14:paraId="45A31CC3" w14:textId="77777777" w:rsidR="005332B4" w:rsidRDefault="005332B4" w:rsidP="005332B4">
      <w:pPr>
        <w:ind w:left="851"/>
        <w:rPr>
          <w:rFonts w:ascii="Cambria" w:hAnsi="Cambria"/>
          <w:sz w:val="24"/>
          <w:szCs w:val="24"/>
        </w:rPr>
      </w:pPr>
    </w:p>
    <w:p w14:paraId="1D932F2C" w14:textId="77777777" w:rsidR="005332B4" w:rsidRDefault="005332B4" w:rsidP="005332B4">
      <w:pPr>
        <w:ind w:left="851"/>
        <w:rPr>
          <w:rFonts w:ascii="Cambria" w:hAnsi="Cambria"/>
          <w:sz w:val="24"/>
          <w:szCs w:val="24"/>
        </w:rPr>
      </w:pPr>
    </w:p>
    <w:p w14:paraId="328565A8" w14:textId="77777777" w:rsidR="005332B4" w:rsidRDefault="005332B4" w:rsidP="005332B4">
      <w:pPr>
        <w:ind w:left="851" w:hanging="425"/>
        <w:rPr>
          <w:rFonts w:ascii="Cambria" w:hAnsi="Cambria"/>
          <w:b/>
          <w:bCs/>
          <w:i/>
          <w:iCs/>
          <w:sz w:val="24"/>
          <w:szCs w:val="24"/>
        </w:rPr>
      </w:pPr>
      <w:r>
        <w:rPr>
          <w:rFonts w:ascii="Cambria" w:hAnsi="Cambria"/>
          <w:b/>
          <w:bCs/>
          <w:i/>
          <w:iCs/>
          <w:sz w:val="24"/>
          <w:szCs w:val="24"/>
        </w:rPr>
        <w:t>A</w:t>
      </w:r>
      <w:r w:rsidRPr="00040BFA">
        <w:rPr>
          <w:rFonts w:ascii="Cambria" w:hAnsi="Cambria"/>
          <w:b/>
          <w:bCs/>
          <w:i/>
          <w:iCs/>
          <w:sz w:val="24"/>
          <w:szCs w:val="24"/>
        </w:rPr>
        <w:t>cceptabilité</w:t>
      </w:r>
      <w:r>
        <w:rPr>
          <w:rFonts w:ascii="Cambria" w:hAnsi="Cambria"/>
          <w:b/>
          <w:bCs/>
          <w:i/>
          <w:iCs/>
          <w:sz w:val="24"/>
          <w:szCs w:val="24"/>
        </w:rPr>
        <w:t xml:space="preserve"> du risque (d</w:t>
      </w:r>
      <w:r w:rsidRPr="00040BFA">
        <w:rPr>
          <w:rFonts w:ascii="Cambria" w:hAnsi="Cambria"/>
          <w:b/>
          <w:bCs/>
          <w:i/>
          <w:iCs/>
          <w:sz w:val="24"/>
          <w:szCs w:val="24"/>
        </w:rPr>
        <w:t>écision collective</w:t>
      </w:r>
      <w:r>
        <w:rPr>
          <w:rFonts w:ascii="Cambria" w:hAnsi="Cambria"/>
          <w:b/>
          <w:bCs/>
          <w:i/>
          <w:iCs/>
          <w:sz w:val="24"/>
          <w:szCs w:val="24"/>
        </w:rPr>
        <w:t>)</w:t>
      </w:r>
    </w:p>
    <w:p w14:paraId="42999A20" w14:textId="77777777" w:rsidR="005332B4" w:rsidRPr="00040BFA" w:rsidRDefault="005332B4" w:rsidP="005332B4">
      <w:pPr>
        <w:ind w:left="851"/>
        <w:rPr>
          <w:rFonts w:ascii="Cambria" w:hAnsi="Cambria"/>
          <w:sz w:val="8"/>
          <w:szCs w:val="8"/>
        </w:rPr>
      </w:pPr>
    </w:p>
    <w:p w14:paraId="19BA8B07" w14:textId="77777777" w:rsidR="005332B4" w:rsidRPr="00040BFA" w:rsidRDefault="005332B4" w:rsidP="005332B4">
      <w:pPr>
        <w:ind w:left="851"/>
        <w:rPr>
          <w:rFonts w:ascii="Cambria" w:hAnsi="Cambria"/>
          <w:sz w:val="24"/>
          <w:szCs w:val="24"/>
        </w:rPr>
      </w:pPr>
      <w:r w:rsidRPr="00040BFA">
        <w:rPr>
          <w:rFonts w:ascii="Cambria" w:hAnsi="Cambria"/>
          <w:sz w:val="24"/>
          <w:szCs w:val="24"/>
        </w:rPr>
        <w:t xml:space="preserve">Risque jugé…                                  </w:t>
      </w:r>
    </w:p>
    <w:p w14:paraId="2474575F" w14:textId="77777777" w:rsidR="005332B4" w:rsidRPr="00E26542" w:rsidRDefault="005332B4" w:rsidP="005332B4">
      <w:pPr>
        <w:pStyle w:val="Paragraphedeliste"/>
        <w:numPr>
          <w:ilvl w:val="0"/>
          <w:numId w:val="15"/>
        </w:numPr>
        <w:rPr>
          <w:rFonts w:ascii="Cambria" w:hAnsi="Cambria"/>
          <w:sz w:val="24"/>
          <w:szCs w:val="24"/>
        </w:rPr>
      </w:pPr>
      <w:r w:rsidRPr="00E26542">
        <w:rPr>
          <w:rFonts w:ascii="Cambria" w:hAnsi="Cambria"/>
          <w:sz w:val="24"/>
          <w:szCs w:val="24"/>
        </w:rPr>
        <w:t xml:space="preserve">Inacceptable → interdiction / retrait     </w:t>
      </w:r>
    </w:p>
    <w:p w14:paraId="1E48AA76" w14:textId="77777777" w:rsidR="005332B4" w:rsidRPr="00E26542" w:rsidRDefault="005332B4" w:rsidP="005332B4">
      <w:pPr>
        <w:pStyle w:val="Paragraphedeliste"/>
        <w:numPr>
          <w:ilvl w:val="0"/>
          <w:numId w:val="15"/>
        </w:numPr>
        <w:rPr>
          <w:rFonts w:ascii="Cambria" w:hAnsi="Cambria"/>
          <w:sz w:val="24"/>
          <w:szCs w:val="24"/>
        </w:rPr>
      </w:pPr>
      <w:r w:rsidRPr="00E26542">
        <w:rPr>
          <w:rFonts w:ascii="Cambria" w:hAnsi="Cambria"/>
          <w:sz w:val="24"/>
          <w:szCs w:val="24"/>
        </w:rPr>
        <w:t xml:space="preserve">Tolérable → encadrement, réglementation  </w:t>
      </w:r>
    </w:p>
    <w:p w14:paraId="64C02743" w14:textId="77777777" w:rsidR="005332B4" w:rsidRPr="00E26542" w:rsidRDefault="005332B4" w:rsidP="005332B4">
      <w:pPr>
        <w:pStyle w:val="Paragraphedeliste"/>
        <w:numPr>
          <w:ilvl w:val="0"/>
          <w:numId w:val="15"/>
        </w:numPr>
        <w:rPr>
          <w:rFonts w:ascii="Cambria" w:hAnsi="Cambria"/>
          <w:sz w:val="24"/>
          <w:szCs w:val="24"/>
        </w:rPr>
      </w:pPr>
      <w:r w:rsidRPr="00E26542">
        <w:rPr>
          <w:rFonts w:ascii="Cambria" w:hAnsi="Cambria"/>
          <w:sz w:val="24"/>
          <w:szCs w:val="24"/>
        </w:rPr>
        <w:t xml:space="preserve">Négligeable → pas d’action spécifique    </w:t>
      </w:r>
    </w:p>
    <w:p w14:paraId="3AAF3099" w14:textId="77777777" w:rsidR="005332B4" w:rsidRDefault="005332B4" w:rsidP="005332B4">
      <w:pPr>
        <w:ind w:left="851"/>
        <w:rPr>
          <w:rFonts w:ascii="Cambria" w:hAnsi="Cambria"/>
          <w:sz w:val="24"/>
          <w:szCs w:val="24"/>
        </w:rPr>
      </w:pPr>
    </w:p>
    <w:p w14:paraId="6DE82FB3" w14:textId="77777777" w:rsidR="005332B4" w:rsidRDefault="005332B4" w:rsidP="005332B4">
      <w:pPr>
        <w:jc w:val="both"/>
        <w:rPr>
          <w:rFonts w:ascii="Cambria" w:hAnsi="Cambria"/>
          <w:sz w:val="24"/>
          <w:szCs w:val="24"/>
        </w:rPr>
      </w:pPr>
      <w:r w:rsidRPr="00382D97">
        <w:rPr>
          <w:rFonts w:ascii="Cambria" w:hAnsi="Cambria"/>
          <w:sz w:val="24"/>
          <w:szCs w:val="24"/>
        </w:rPr>
        <w:t xml:space="preserve">Cependant, </w:t>
      </w:r>
      <w:r>
        <w:rPr>
          <w:rFonts w:ascii="Cambria" w:hAnsi="Cambria"/>
          <w:sz w:val="24"/>
          <w:szCs w:val="24"/>
        </w:rPr>
        <w:t>l’</w:t>
      </w:r>
      <w:r w:rsidRPr="00382D97">
        <w:rPr>
          <w:rFonts w:ascii="Cambria" w:hAnsi="Cambria"/>
          <w:sz w:val="24"/>
          <w:szCs w:val="24"/>
        </w:rPr>
        <w:t xml:space="preserve">acceptation </w:t>
      </w:r>
      <w:r>
        <w:rPr>
          <w:rFonts w:ascii="Cambria" w:hAnsi="Cambria"/>
          <w:sz w:val="24"/>
          <w:szCs w:val="24"/>
        </w:rPr>
        <w:t>d’un</w:t>
      </w:r>
      <w:r w:rsidRPr="00382D97">
        <w:rPr>
          <w:rFonts w:ascii="Cambria" w:hAnsi="Cambria"/>
          <w:sz w:val="24"/>
          <w:szCs w:val="24"/>
        </w:rPr>
        <w:t xml:space="preserve"> risque n’est </w:t>
      </w:r>
      <w:r>
        <w:rPr>
          <w:rFonts w:ascii="Cambria" w:hAnsi="Cambria"/>
          <w:sz w:val="24"/>
          <w:szCs w:val="24"/>
        </w:rPr>
        <w:t>ni</w:t>
      </w:r>
      <w:r w:rsidRPr="00382D97">
        <w:rPr>
          <w:rFonts w:ascii="Cambria" w:hAnsi="Cambria"/>
          <w:sz w:val="24"/>
          <w:szCs w:val="24"/>
        </w:rPr>
        <w:t xml:space="preserve"> immuable </w:t>
      </w:r>
      <w:r>
        <w:rPr>
          <w:rFonts w:ascii="Cambria" w:hAnsi="Cambria"/>
          <w:sz w:val="24"/>
          <w:szCs w:val="24"/>
        </w:rPr>
        <w:t xml:space="preserve">ni universelle </w:t>
      </w:r>
      <w:r w:rsidRPr="00382D97">
        <w:rPr>
          <w:rFonts w:ascii="Cambria" w:hAnsi="Cambria"/>
          <w:sz w:val="24"/>
          <w:szCs w:val="24"/>
        </w:rPr>
        <w:t xml:space="preserve">: </w:t>
      </w:r>
      <w:r w:rsidRPr="00E43D4D">
        <w:rPr>
          <w:rFonts w:ascii="Cambria" w:hAnsi="Cambria"/>
          <w:b/>
          <w:bCs/>
          <w:sz w:val="24"/>
          <w:szCs w:val="24"/>
        </w:rPr>
        <w:t>elle varie dans le temps et selon les pays</w:t>
      </w:r>
      <w:r w:rsidRPr="00382D97">
        <w:rPr>
          <w:rFonts w:ascii="Cambria" w:hAnsi="Cambria"/>
          <w:sz w:val="24"/>
          <w:szCs w:val="24"/>
        </w:rPr>
        <w:t>, en fonction de l’évolution des connaissances scientifiques,</w:t>
      </w:r>
      <w:r>
        <w:rPr>
          <w:rFonts w:ascii="Cambria" w:hAnsi="Cambria"/>
          <w:sz w:val="24"/>
          <w:szCs w:val="24"/>
        </w:rPr>
        <w:t xml:space="preserve"> des politiques publiques,</w:t>
      </w:r>
      <w:r w:rsidRPr="00382D97">
        <w:rPr>
          <w:rFonts w:ascii="Cambria" w:hAnsi="Cambria"/>
          <w:sz w:val="24"/>
          <w:szCs w:val="24"/>
        </w:rPr>
        <w:t xml:space="preserve"> des mobilisations citoyennes et des alternatives techniques disponibles.</w:t>
      </w:r>
    </w:p>
    <w:p w14:paraId="59FFA5FA" w14:textId="77777777" w:rsidR="00DF2508" w:rsidRDefault="00DF2508" w:rsidP="005332B4">
      <w:pPr>
        <w:jc w:val="both"/>
        <w:rPr>
          <w:rFonts w:ascii="Cambria" w:hAnsi="Cambria"/>
          <w:b/>
          <w:bCs/>
          <w:color w:val="80340D" w:themeColor="accent2" w:themeShade="80"/>
          <w:sz w:val="24"/>
          <w:szCs w:val="24"/>
        </w:rPr>
      </w:pPr>
    </w:p>
    <w:p w14:paraId="29523202" w14:textId="5DF9FA2E" w:rsidR="005332B4" w:rsidRPr="00D017DD" w:rsidRDefault="005332B4" w:rsidP="005332B4">
      <w:pPr>
        <w:jc w:val="both"/>
        <w:rPr>
          <w:rFonts w:ascii="Cambria" w:hAnsi="Cambria"/>
          <w:b/>
          <w:bCs/>
          <w:color w:val="80340D" w:themeColor="accent2" w:themeShade="80"/>
          <w:sz w:val="24"/>
          <w:szCs w:val="24"/>
        </w:rPr>
      </w:pPr>
      <w:r w:rsidRPr="00D017DD">
        <w:rPr>
          <w:rFonts w:ascii="Cambria" w:hAnsi="Cambria"/>
          <w:b/>
          <w:bCs/>
          <w:color w:val="80340D" w:themeColor="accent2" w:themeShade="80"/>
          <w:sz w:val="24"/>
          <w:szCs w:val="24"/>
        </w:rPr>
        <w:t>Pourquoi certains risques sont-ils considérés comme « acceptables » et d’autres non ?</w:t>
      </w:r>
    </w:p>
    <w:p w14:paraId="51554BC5" w14:textId="77777777" w:rsidR="005332B4" w:rsidRDefault="005332B4" w:rsidP="005332B4">
      <w:pPr>
        <w:jc w:val="both"/>
        <w:rPr>
          <w:rFonts w:ascii="Cambria" w:hAnsi="Cambria"/>
          <w:sz w:val="24"/>
          <w:szCs w:val="24"/>
        </w:rPr>
      </w:pPr>
    </w:p>
    <w:p w14:paraId="5048A4A0" w14:textId="1CBDB861" w:rsidR="005332B4" w:rsidRPr="00D017DD" w:rsidRDefault="005332B4" w:rsidP="005332B4">
      <w:pPr>
        <w:jc w:val="both"/>
        <w:rPr>
          <w:rFonts w:ascii="Cambria" w:hAnsi="Cambria"/>
          <w:sz w:val="24"/>
          <w:szCs w:val="24"/>
        </w:rPr>
      </w:pPr>
      <w:r>
        <w:rPr>
          <w:rFonts w:ascii="Cambria" w:hAnsi="Cambria"/>
          <w:sz w:val="24"/>
          <w:szCs w:val="24"/>
        </w:rPr>
        <w:t xml:space="preserve">Comme </w:t>
      </w:r>
      <w:r w:rsidRPr="00D017DD">
        <w:rPr>
          <w:rFonts w:ascii="Cambria" w:hAnsi="Cambria"/>
          <w:sz w:val="24"/>
          <w:szCs w:val="24"/>
        </w:rPr>
        <w:t>l’acceptabilité</w:t>
      </w:r>
      <w:r>
        <w:rPr>
          <w:rFonts w:ascii="Cambria" w:hAnsi="Cambria"/>
          <w:sz w:val="24"/>
          <w:szCs w:val="24"/>
        </w:rPr>
        <w:t xml:space="preserve"> </w:t>
      </w:r>
      <w:r w:rsidRPr="00D017DD">
        <w:rPr>
          <w:rFonts w:ascii="Cambria" w:hAnsi="Cambria"/>
          <w:sz w:val="24"/>
          <w:szCs w:val="24"/>
        </w:rPr>
        <w:t>d’un danger est le résultat d’un ensemble de facteurs sociaux, culturels, politiques et psychologiques</w:t>
      </w:r>
      <w:r>
        <w:rPr>
          <w:rFonts w:ascii="Cambria" w:hAnsi="Cambria"/>
          <w:sz w:val="24"/>
          <w:szCs w:val="24"/>
        </w:rPr>
        <w:t>, d</w:t>
      </w:r>
      <w:r w:rsidRPr="00D017DD">
        <w:rPr>
          <w:rFonts w:ascii="Cambria" w:hAnsi="Cambria"/>
          <w:sz w:val="24"/>
          <w:szCs w:val="24"/>
        </w:rPr>
        <w:t>eux risques présentant des conséquences</w:t>
      </w:r>
      <w:r>
        <w:rPr>
          <w:rFonts w:ascii="Cambria" w:hAnsi="Cambria"/>
          <w:sz w:val="24"/>
          <w:szCs w:val="24"/>
        </w:rPr>
        <w:t xml:space="preserve"> a priori</w:t>
      </w:r>
      <w:r w:rsidRPr="00D017DD">
        <w:rPr>
          <w:rFonts w:ascii="Cambria" w:hAnsi="Cambria"/>
          <w:sz w:val="24"/>
          <w:szCs w:val="24"/>
        </w:rPr>
        <w:t xml:space="preserve"> similaires peuvent être </w:t>
      </w:r>
      <w:r w:rsidR="008B5A17">
        <w:rPr>
          <w:rFonts w:ascii="Cambria" w:hAnsi="Cambria"/>
          <w:sz w:val="24"/>
          <w:szCs w:val="24"/>
        </w:rPr>
        <w:t>considéré</w:t>
      </w:r>
      <w:r w:rsidRPr="00D017DD">
        <w:rPr>
          <w:rFonts w:ascii="Cambria" w:hAnsi="Cambria"/>
          <w:sz w:val="24"/>
          <w:szCs w:val="24"/>
        </w:rPr>
        <w:t>s très différemment par la société selon le contexte et la manière dont ils sont vécus.</w:t>
      </w:r>
      <w:r>
        <w:rPr>
          <w:rFonts w:ascii="Cambria" w:hAnsi="Cambria"/>
          <w:sz w:val="24"/>
          <w:szCs w:val="24"/>
        </w:rPr>
        <w:t xml:space="preserve"> </w:t>
      </w:r>
      <w:r w:rsidRPr="00D017DD">
        <w:rPr>
          <w:rFonts w:ascii="Cambria" w:hAnsi="Cambria"/>
          <w:sz w:val="24"/>
          <w:szCs w:val="24"/>
        </w:rPr>
        <w:t>Plusieurs éléments expliquent ces différences :</w:t>
      </w:r>
    </w:p>
    <w:p w14:paraId="0DE062B9" w14:textId="77777777" w:rsidR="005332B4" w:rsidRDefault="005332B4" w:rsidP="005332B4">
      <w:pPr>
        <w:pStyle w:val="Paragraphedeliste"/>
        <w:numPr>
          <w:ilvl w:val="0"/>
          <w:numId w:val="14"/>
        </w:numPr>
        <w:spacing w:before="40"/>
        <w:ind w:left="357" w:hanging="357"/>
        <w:contextualSpacing w:val="0"/>
        <w:jc w:val="both"/>
        <w:rPr>
          <w:rFonts w:ascii="Cambria" w:hAnsi="Cambria"/>
          <w:sz w:val="24"/>
          <w:szCs w:val="24"/>
        </w:rPr>
      </w:pPr>
      <w:r w:rsidRPr="00D017DD">
        <w:rPr>
          <w:rFonts w:ascii="Cambria" w:hAnsi="Cambria"/>
          <w:b/>
          <w:bCs/>
          <w:sz w:val="24"/>
          <w:szCs w:val="24"/>
        </w:rPr>
        <w:t>Volontariat v</w:t>
      </w:r>
      <w:r>
        <w:rPr>
          <w:rFonts w:ascii="Cambria" w:hAnsi="Cambria"/>
          <w:b/>
          <w:bCs/>
          <w:sz w:val="24"/>
          <w:szCs w:val="24"/>
        </w:rPr>
        <w:t>ersus</w:t>
      </w:r>
      <w:r w:rsidRPr="00D017DD">
        <w:rPr>
          <w:rFonts w:ascii="Cambria" w:hAnsi="Cambria"/>
          <w:b/>
          <w:bCs/>
          <w:sz w:val="24"/>
          <w:szCs w:val="24"/>
        </w:rPr>
        <w:t xml:space="preserve"> </w:t>
      </w:r>
      <w:r>
        <w:rPr>
          <w:rFonts w:ascii="Cambria" w:hAnsi="Cambria"/>
          <w:b/>
          <w:bCs/>
          <w:sz w:val="24"/>
          <w:szCs w:val="24"/>
        </w:rPr>
        <w:t>i</w:t>
      </w:r>
      <w:r w:rsidRPr="00D017DD">
        <w:rPr>
          <w:rFonts w:ascii="Cambria" w:hAnsi="Cambria"/>
          <w:b/>
          <w:bCs/>
          <w:sz w:val="24"/>
          <w:szCs w:val="24"/>
        </w:rPr>
        <w:t>mposition</w:t>
      </w:r>
      <w:r>
        <w:rPr>
          <w:rFonts w:ascii="Cambria" w:hAnsi="Cambria"/>
          <w:sz w:val="24"/>
          <w:szCs w:val="24"/>
        </w:rPr>
        <w:t xml:space="preserve"> : </w:t>
      </w:r>
      <w:r w:rsidRPr="00D017DD">
        <w:rPr>
          <w:rFonts w:ascii="Cambria" w:hAnsi="Cambria"/>
          <w:sz w:val="24"/>
          <w:szCs w:val="24"/>
        </w:rPr>
        <w:t xml:space="preserve">Un risque choisi volontairement, comme celui de pratiquer l’alpinisme, de </w:t>
      </w:r>
      <w:r>
        <w:rPr>
          <w:rFonts w:ascii="Cambria" w:hAnsi="Cambria"/>
          <w:sz w:val="24"/>
          <w:szCs w:val="24"/>
        </w:rPr>
        <w:t>prendre un médicament</w:t>
      </w:r>
      <w:r w:rsidRPr="00D017DD">
        <w:rPr>
          <w:rFonts w:ascii="Cambria" w:hAnsi="Cambria"/>
          <w:sz w:val="24"/>
          <w:szCs w:val="24"/>
        </w:rPr>
        <w:t xml:space="preserve"> ou de consommer de l’alcool, est généralement perçu comme plus acceptable qu’un risque</w:t>
      </w:r>
      <w:r>
        <w:rPr>
          <w:rFonts w:ascii="Cambria" w:hAnsi="Cambria"/>
          <w:sz w:val="24"/>
          <w:szCs w:val="24"/>
        </w:rPr>
        <w:t xml:space="preserve"> « subi »</w:t>
      </w:r>
      <w:r w:rsidRPr="00D017DD">
        <w:rPr>
          <w:rFonts w:ascii="Cambria" w:hAnsi="Cambria"/>
          <w:sz w:val="24"/>
          <w:szCs w:val="24"/>
        </w:rPr>
        <w:t xml:space="preserve"> </w:t>
      </w:r>
      <w:r>
        <w:rPr>
          <w:rFonts w:ascii="Cambria" w:hAnsi="Cambria"/>
          <w:sz w:val="24"/>
          <w:szCs w:val="24"/>
        </w:rPr>
        <w:t>(</w:t>
      </w:r>
      <w:r w:rsidRPr="00D017DD">
        <w:rPr>
          <w:rFonts w:ascii="Cambria" w:hAnsi="Cambria"/>
          <w:sz w:val="24"/>
          <w:szCs w:val="24"/>
        </w:rPr>
        <w:t xml:space="preserve">imposé de l’extérieur, comme la pollution de l’air </w:t>
      </w:r>
      <w:r>
        <w:rPr>
          <w:rFonts w:ascii="Cambria" w:hAnsi="Cambria"/>
          <w:sz w:val="24"/>
          <w:szCs w:val="24"/>
        </w:rPr>
        <w:t xml:space="preserve">par les pesticides </w:t>
      </w:r>
      <w:r w:rsidRPr="00D017DD">
        <w:rPr>
          <w:rFonts w:ascii="Cambria" w:hAnsi="Cambria"/>
          <w:sz w:val="24"/>
          <w:szCs w:val="24"/>
        </w:rPr>
        <w:t xml:space="preserve">ou l’exposition </w:t>
      </w:r>
      <w:r>
        <w:rPr>
          <w:rFonts w:ascii="Cambria" w:hAnsi="Cambria"/>
          <w:sz w:val="24"/>
          <w:szCs w:val="24"/>
        </w:rPr>
        <w:t xml:space="preserve">chronique </w:t>
      </w:r>
      <w:r w:rsidRPr="00D017DD">
        <w:rPr>
          <w:rFonts w:ascii="Cambria" w:hAnsi="Cambria"/>
          <w:sz w:val="24"/>
          <w:szCs w:val="24"/>
        </w:rPr>
        <w:t xml:space="preserve">aux </w:t>
      </w:r>
      <w:r>
        <w:rPr>
          <w:rFonts w:ascii="Cambria" w:hAnsi="Cambria"/>
          <w:sz w:val="24"/>
          <w:szCs w:val="24"/>
        </w:rPr>
        <w:lastRenderedPageBreak/>
        <w:t xml:space="preserve">résidus de </w:t>
      </w:r>
      <w:r w:rsidRPr="00D017DD">
        <w:rPr>
          <w:rFonts w:ascii="Cambria" w:hAnsi="Cambria"/>
          <w:sz w:val="24"/>
          <w:szCs w:val="24"/>
        </w:rPr>
        <w:t>pesticides</w:t>
      </w:r>
      <w:r>
        <w:rPr>
          <w:rFonts w:ascii="Cambria" w:hAnsi="Cambria"/>
          <w:sz w:val="24"/>
          <w:szCs w:val="24"/>
        </w:rPr>
        <w:t xml:space="preserve"> via l’alimentation)</w:t>
      </w:r>
      <w:r w:rsidRPr="00D017DD">
        <w:rPr>
          <w:rFonts w:ascii="Cambria" w:hAnsi="Cambria"/>
          <w:sz w:val="24"/>
          <w:szCs w:val="24"/>
        </w:rPr>
        <w:t>. Le fait d’avoir la liberté de choisir joue un rôle central : subir un danger sans y consentir provoque davantage de rejet et de contestation.</w:t>
      </w:r>
      <w:r>
        <w:rPr>
          <w:rFonts w:ascii="Cambria" w:hAnsi="Cambria"/>
          <w:sz w:val="24"/>
          <w:szCs w:val="24"/>
        </w:rPr>
        <w:t xml:space="preserve"> </w:t>
      </w:r>
      <w:r w:rsidRPr="00EA70EB">
        <w:rPr>
          <w:rFonts w:ascii="Cambria" w:hAnsi="Cambria"/>
          <w:sz w:val="24"/>
          <w:szCs w:val="24"/>
        </w:rPr>
        <w:t>La pandémie de COVID-19 illustre bien ce facteur. Les mesures de confinement, imposées à l’ensemble de la population, ont généré un rejet marqué dans certaines sociétés, malgré leur efficacité sanitaire avérée. À l’inverse, la vaccination volontaire a été mieux acceptée, surtout là où la confiance institutionnelle était forte. Cela confirme que la liberté de choix joue un rôle déterminant dans l’acceptabilité d’un risque.</w:t>
      </w:r>
    </w:p>
    <w:p w14:paraId="74380974" w14:textId="77777777" w:rsidR="005332B4" w:rsidRDefault="005332B4" w:rsidP="005332B4">
      <w:pPr>
        <w:pStyle w:val="Paragraphedeliste"/>
        <w:numPr>
          <w:ilvl w:val="0"/>
          <w:numId w:val="14"/>
        </w:numPr>
        <w:spacing w:before="40"/>
        <w:ind w:left="357" w:hanging="357"/>
        <w:contextualSpacing w:val="0"/>
        <w:jc w:val="both"/>
        <w:rPr>
          <w:rFonts w:ascii="Cambria" w:hAnsi="Cambria"/>
          <w:sz w:val="24"/>
          <w:szCs w:val="24"/>
        </w:rPr>
      </w:pPr>
      <w:r w:rsidRPr="00D017DD">
        <w:rPr>
          <w:rFonts w:ascii="Cambria" w:hAnsi="Cambria"/>
          <w:b/>
          <w:bCs/>
          <w:sz w:val="24"/>
          <w:szCs w:val="24"/>
        </w:rPr>
        <w:t>L</w:t>
      </w:r>
      <w:r>
        <w:rPr>
          <w:rFonts w:ascii="Cambria" w:hAnsi="Cambria"/>
          <w:b/>
          <w:bCs/>
          <w:sz w:val="24"/>
          <w:szCs w:val="24"/>
        </w:rPr>
        <w:t xml:space="preserve">a perception </w:t>
      </w:r>
      <w:r w:rsidRPr="00D017DD">
        <w:rPr>
          <w:rFonts w:ascii="Cambria" w:hAnsi="Cambria"/>
          <w:b/>
          <w:bCs/>
          <w:sz w:val="24"/>
          <w:szCs w:val="24"/>
        </w:rPr>
        <w:t>du contrôle</w:t>
      </w:r>
      <w:r>
        <w:rPr>
          <w:rFonts w:ascii="Cambria" w:hAnsi="Cambria"/>
          <w:sz w:val="24"/>
          <w:szCs w:val="24"/>
        </w:rPr>
        <w:t xml:space="preserve"> : </w:t>
      </w:r>
      <w:r w:rsidRPr="00D017DD">
        <w:rPr>
          <w:rFonts w:ascii="Cambria" w:hAnsi="Cambria"/>
          <w:sz w:val="24"/>
          <w:szCs w:val="24"/>
        </w:rPr>
        <w:t xml:space="preserve">La possibilité de </w:t>
      </w:r>
      <w:r>
        <w:rPr>
          <w:rFonts w:ascii="Cambria" w:hAnsi="Cambria"/>
          <w:sz w:val="24"/>
          <w:szCs w:val="24"/>
        </w:rPr>
        <w:t>maîtris</w:t>
      </w:r>
      <w:r w:rsidRPr="00D017DD">
        <w:rPr>
          <w:rFonts w:ascii="Cambria" w:hAnsi="Cambria"/>
          <w:sz w:val="24"/>
          <w:szCs w:val="24"/>
        </w:rPr>
        <w:t>er ou limiter un risque influe sur son acceptabilité. On tolère davantage un danger que l’on pense pouvoir maîtriser, par exemple en portant un</w:t>
      </w:r>
      <w:r>
        <w:rPr>
          <w:rFonts w:ascii="Cambria" w:hAnsi="Cambria"/>
          <w:sz w:val="24"/>
          <w:szCs w:val="24"/>
        </w:rPr>
        <w:t xml:space="preserve"> masque ou un</w:t>
      </w:r>
      <w:r w:rsidRPr="00D017DD">
        <w:rPr>
          <w:rFonts w:ascii="Cambria" w:hAnsi="Cambria"/>
          <w:sz w:val="24"/>
          <w:szCs w:val="24"/>
        </w:rPr>
        <w:t>e c</w:t>
      </w:r>
      <w:r>
        <w:rPr>
          <w:rFonts w:ascii="Cambria" w:hAnsi="Cambria"/>
          <w:sz w:val="24"/>
          <w:szCs w:val="24"/>
        </w:rPr>
        <w:t>ombinaison</w:t>
      </w:r>
      <w:r w:rsidRPr="00D017DD">
        <w:rPr>
          <w:rFonts w:ascii="Cambria" w:hAnsi="Cambria"/>
          <w:sz w:val="24"/>
          <w:szCs w:val="24"/>
        </w:rPr>
        <w:t xml:space="preserve"> de sécurité ou en ad</w:t>
      </w:r>
      <w:r>
        <w:rPr>
          <w:rFonts w:ascii="Cambria" w:hAnsi="Cambria"/>
          <w:sz w:val="24"/>
          <w:szCs w:val="24"/>
        </w:rPr>
        <w:t>o</w:t>
      </w:r>
      <w:r w:rsidRPr="00D017DD">
        <w:rPr>
          <w:rFonts w:ascii="Cambria" w:hAnsi="Cambria"/>
          <w:sz w:val="24"/>
          <w:szCs w:val="24"/>
        </w:rPr>
        <w:t xml:space="preserve">ptant </w:t>
      </w:r>
      <w:r>
        <w:rPr>
          <w:rFonts w:ascii="Cambria" w:hAnsi="Cambria"/>
          <w:sz w:val="24"/>
          <w:szCs w:val="24"/>
        </w:rPr>
        <w:t>les Bonnes Pratiques Phytosanitaires</w:t>
      </w:r>
      <w:r w:rsidRPr="00D017DD">
        <w:rPr>
          <w:rFonts w:ascii="Cambria" w:hAnsi="Cambria"/>
          <w:sz w:val="24"/>
          <w:szCs w:val="24"/>
        </w:rPr>
        <w:t>, qu’un risque invisible et subi, comme l’exposition à des particules fines dans l’air</w:t>
      </w:r>
      <w:r>
        <w:rPr>
          <w:rFonts w:ascii="Cambria" w:hAnsi="Cambria"/>
          <w:sz w:val="24"/>
          <w:szCs w:val="24"/>
        </w:rPr>
        <w:t xml:space="preserve"> que l’on respire</w:t>
      </w:r>
      <w:r w:rsidRPr="00D017DD">
        <w:rPr>
          <w:rFonts w:ascii="Cambria" w:hAnsi="Cambria"/>
          <w:sz w:val="24"/>
          <w:szCs w:val="24"/>
        </w:rPr>
        <w:t>. Le sentiment d’impuissance accroît fortement la perception négative.</w:t>
      </w:r>
      <w:r>
        <w:rPr>
          <w:rFonts w:ascii="Cambria" w:hAnsi="Cambria"/>
          <w:sz w:val="24"/>
          <w:szCs w:val="24"/>
        </w:rPr>
        <w:t xml:space="preserve"> A contrario, le port d’équipements de sécurité (EPI) et le respect de quelques recommandations de base peut donner aux agriculteurs un faux sentiment de sécurité (ces EPI n’étant pas réellement étanches aux produits chimiques). </w:t>
      </w:r>
      <w:r w:rsidRPr="00EA70EB">
        <w:rPr>
          <w:rFonts w:ascii="Cambria" w:hAnsi="Cambria"/>
          <w:sz w:val="24"/>
          <w:szCs w:val="24"/>
        </w:rPr>
        <w:t>Le nucléaire civil constitue un autre exemple révélateur. Dans des pays où les institutions sont perçues comme transparentes et compétentes, comme la Finlande, l’acceptabilité de l’énergie nucléaire reste relativement élevée. À l’inverse, dans des contextes marqués par des accidents majeurs et une défiance institutionnelle, comme le Japon après Fukushima, cette acceptabilité chute brutalement.</w:t>
      </w:r>
    </w:p>
    <w:p w14:paraId="24CF9477" w14:textId="77777777" w:rsidR="005332B4" w:rsidRDefault="005332B4" w:rsidP="005332B4">
      <w:pPr>
        <w:pStyle w:val="Paragraphedeliste"/>
        <w:numPr>
          <w:ilvl w:val="0"/>
          <w:numId w:val="14"/>
        </w:numPr>
        <w:spacing w:before="40"/>
        <w:ind w:left="357" w:hanging="357"/>
        <w:contextualSpacing w:val="0"/>
        <w:jc w:val="both"/>
        <w:rPr>
          <w:rFonts w:ascii="Cambria" w:hAnsi="Cambria"/>
          <w:sz w:val="24"/>
          <w:szCs w:val="24"/>
        </w:rPr>
      </w:pPr>
      <w:r w:rsidRPr="0083562D">
        <w:rPr>
          <w:rFonts w:ascii="Cambria" w:hAnsi="Cambria"/>
          <w:b/>
          <w:bCs/>
          <w:sz w:val="24"/>
          <w:szCs w:val="24"/>
        </w:rPr>
        <w:t>Nature et visibilité du risque</w:t>
      </w:r>
      <w:r>
        <w:rPr>
          <w:rFonts w:ascii="Cambria" w:hAnsi="Cambria"/>
          <w:sz w:val="24"/>
          <w:szCs w:val="24"/>
        </w:rPr>
        <w:t xml:space="preserve"> : </w:t>
      </w:r>
      <w:r w:rsidRPr="0083562D">
        <w:rPr>
          <w:rFonts w:ascii="Cambria" w:hAnsi="Cambria"/>
          <w:sz w:val="24"/>
          <w:szCs w:val="24"/>
        </w:rPr>
        <w:t>Les risques ne sont pas tous perçus de la même manière selon leur temporalité et leur visibilité. Les dangers immédiats, soudains, spectaculaires et dramatiques (un accident nucléaire, un attentat, un crash aérien</w:t>
      </w:r>
      <w:r>
        <w:rPr>
          <w:rFonts w:ascii="Cambria" w:hAnsi="Cambria"/>
          <w:sz w:val="24"/>
          <w:szCs w:val="24"/>
        </w:rPr>
        <w:t>, mais aussi un empoisonnement</w:t>
      </w:r>
      <w:r w:rsidRPr="0083562D">
        <w:rPr>
          <w:rFonts w:ascii="Cambria" w:hAnsi="Cambria"/>
          <w:sz w:val="24"/>
          <w:szCs w:val="24"/>
        </w:rPr>
        <w:t>) suscitent généralement une peur intense</w:t>
      </w:r>
      <w:r>
        <w:rPr>
          <w:rFonts w:ascii="Cambria" w:hAnsi="Cambria"/>
          <w:sz w:val="24"/>
          <w:szCs w:val="24"/>
        </w:rPr>
        <w:t xml:space="preserve"> (souvent de courte durée)</w:t>
      </w:r>
      <w:r w:rsidRPr="0083562D">
        <w:rPr>
          <w:rFonts w:ascii="Cambria" w:hAnsi="Cambria"/>
          <w:sz w:val="24"/>
          <w:szCs w:val="24"/>
        </w:rPr>
        <w:t xml:space="preserve"> et une </w:t>
      </w:r>
      <w:r>
        <w:rPr>
          <w:rFonts w:ascii="Cambria" w:hAnsi="Cambria"/>
          <w:sz w:val="24"/>
          <w:szCs w:val="24"/>
        </w:rPr>
        <w:t>moindre</w:t>
      </w:r>
      <w:r w:rsidRPr="0083562D">
        <w:rPr>
          <w:rFonts w:ascii="Cambria" w:hAnsi="Cambria"/>
          <w:sz w:val="24"/>
          <w:szCs w:val="24"/>
        </w:rPr>
        <w:t xml:space="preserve"> tolérance, même si leur probabilité est faible. À l’inverse, les risques chroniques, diffus et « invisibles » (pollution atmosphérique, exposition au</w:t>
      </w:r>
      <w:r>
        <w:rPr>
          <w:rFonts w:ascii="Cambria" w:hAnsi="Cambria"/>
          <w:sz w:val="24"/>
          <w:szCs w:val="24"/>
        </w:rPr>
        <w:t>x résidus</w:t>
      </w:r>
      <w:r w:rsidRPr="0083562D">
        <w:rPr>
          <w:rFonts w:ascii="Cambria" w:hAnsi="Cambria"/>
          <w:sz w:val="24"/>
          <w:szCs w:val="24"/>
        </w:rPr>
        <w:t>) sont souvent mieux tolérés, bien qu’ils causent des dommages sanitaires beaucoup plus importants à long terme.</w:t>
      </w:r>
    </w:p>
    <w:p w14:paraId="4A7F4D4E" w14:textId="77777777" w:rsidR="005332B4" w:rsidRPr="003D07B9" w:rsidRDefault="005332B4" w:rsidP="005332B4">
      <w:pPr>
        <w:pStyle w:val="Paragraphedeliste"/>
        <w:numPr>
          <w:ilvl w:val="0"/>
          <w:numId w:val="14"/>
        </w:numPr>
        <w:spacing w:before="40"/>
        <w:ind w:left="357" w:hanging="357"/>
        <w:contextualSpacing w:val="0"/>
        <w:jc w:val="both"/>
        <w:rPr>
          <w:rFonts w:ascii="Cambria" w:hAnsi="Cambria"/>
          <w:b/>
          <w:bCs/>
          <w:sz w:val="24"/>
          <w:szCs w:val="24"/>
        </w:rPr>
      </w:pPr>
      <w:r w:rsidRPr="003D07B9">
        <w:rPr>
          <w:rFonts w:ascii="Cambria" w:hAnsi="Cambria"/>
          <w:b/>
          <w:bCs/>
          <w:sz w:val="24"/>
          <w:szCs w:val="24"/>
        </w:rPr>
        <w:t>Bénéfices associés</w:t>
      </w:r>
      <w:r>
        <w:rPr>
          <w:rFonts w:ascii="Cambria" w:hAnsi="Cambria"/>
          <w:b/>
          <w:bCs/>
          <w:sz w:val="24"/>
          <w:szCs w:val="24"/>
        </w:rPr>
        <w:t xml:space="preserve"> : </w:t>
      </w:r>
      <w:r w:rsidRPr="003D07B9">
        <w:rPr>
          <w:rFonts w:ascii="Cambria" w:hAnsi="Cambria"/>
          <w:sz w:val="24"/>
          <w:szCs w:val="24"/>
        </w:rPr>
        <w:t xml:space="preserve">L’acceptabilité d’un risque est aussi liée à l’évaluation des bénéfices perçus. Par exemple, un </w:t>
      </w:r>
      <w:r>
        <w:rPr>
          <w:rFonts w:ascii="Cambria" w:hAnsi="Cambria"/>
          <w:sz w:val="24"/>
          <w:szCs w:val="24"/>
        </w:rPr>
        <w:t>herbicide</w:t>
      </w:r>
      <w:r w:rsidRPr="003D07B9">
        <w:rPr>
          <w:rFonts w:ascii="Cambria" w:hAnsi="Cambria"/>
          <w:sz w:val="24"/>
          <w:szCs w:val="24"/>
        </w:rPr>
        <w:t xml:space="preserve"> peut être accepté malgré </w:t>
      </w:r>
      <w:r>
        <w:rPr>
          <w:rFonts w:ascii="Cambria" w:hAnsi="Cambria"/>
          <w:sz w:val="24"/>
          <w:szCs w:val="24"/>
        </w:rPr>
        <w:t>un risque</w:t>
      </w:r>
      <w:r w:rsidRPr="003D07B9">
        <w:rPr>
          <w:rFonts w:ascii="Cambria" w:hAnsi="Cambria"/>
          <w:sz w:val="24"/>
          <w:szCs w:val="24"/>
        </w:rPr>
        <w:t xml:space="preserve"> grave</w:t>
      </w:r>
      <w:r>
        <w:rPr>
          <w:rFonts w:ascii="Cambria" w:hAnsi="Cambria"/>
          <w:sz w:val="24"/>
          <w:szCs w:val="24"/>
        </w:rPr>
        <w:t xml:space="preserve"> de transfert vers la nappe phréatique</w:t>
      </w:r>
      <w:r w:rsidRPr="003D07B9">
        <w:rPr>
          <w:rFonts w:ascii="Cambria" w:hAnsi="Cambria"/>
          <w:sz w:val="24"/>
          <w:szCs w:val="24"/>
        </w:rPr>
        <w:t xml:space="preserve">, car il apporte un bénéfice </w:t>
      </w:r>
      <w:r>
        <w:rPr>
          <w:rFonts w:ascii="Cambria" w:hAnsi="Cambria"/>
          <w:sz w:val="24"/>
          <w:szCs w:val="24"/>
        </w:rPr>
        <w:t>immédiat</w:t>
      </w:r>
      <w:r w:rsidRPr="003D07B9">
        <w:rPr>
          <w:rFonts w:ascii="Cambria" w:hAnsi="Cambria"/>
          <w:sz w:val="24"/>
          <w:szCs w:val="24"/>
        </w:rPr>
        <w:t>. Lorsqu’un risque n’est pas perçu comme contrebalancé par un avantage clair, il tend à être jugé inacceptable.</w:t>
      </w:r>
    </w:p>
    <w:p w14:paraId="10C58C65" w14:textId="77777777" w:rsidR="005332B4" w:rsidRPr="003D07B9" w:rsidRDefault="005332B4" w:rsidP="005332B4">
      <w:pPr>
        <w:pStyle w:val="Paragraphedeliste"/>
        <w:numPr>
          <w:ilvl w:val="0"/>
          <w:numId w:val="14"/>
        </w:numPr>
        <w:spacing w:before="40"/>
        <w:ind w:left="357" w:hanging="357"/>
        <w:contextualSpacing w:val="0"/>
        <w:jc w:val="both"/>
        <w:rPr>
          <w:rFonts w:ascii="Cambria" w:hAnsi="Cambria"/>
          <w:b/>
          <w:bCs/>
          <w:sz w:val="24"/>
          <w:szCs w:val="24"/>
        </w:rPr>
      </w:pPr>
      <w:r w:rsidRPr="003D07B9">
        <w:rPr>
          <w:rFonts w:ascii="Cambria" w:hAnsi="Cambria"/>
          <w:b/>
          <w:bCs/>
          <w:sz w:val="24"/>
          <w:szCs w:val="24"/>
        </w:rPr>
        <w:t>Équité et justice sociale</w:t>
      </w:r>
      <w:r>
        <w:rPr>
          <w:rFonts w:ascii="Cambria" w:hAnsi="Cambria"/>
          <w:b/>
          <w:bCs/>
          <w:sz w:val="24"/>
          <w:szCs w:val="24"/>
        </w:rPr>
        <w:t xml:space="preserve"> : </w:t>
      </w:r>
      <w:r w:rsidRPr="003D07B9">
        <w:rPr>
          <w:rFonts w:ascii="Cambria" w:hAnsi="Cambria"/>
          <w:sz w:val="24"/>
          <w:szCs w:val="24"/>
        </w:rPr>
        <w:t xml:space="preserve">La manière dont un risque est réparti dans la société joue un rôle majeur. Lorsqu’un danger affecte plus fortement certaines populations (par exemple les travailleurs ou les </w:t>
      </w:r>
      <w:r>
        <w:rPr>
          <w:rFonts w:ascii="Cambria" w:hAnsi="Cambria"/>
          <w:sz w:val="24"/>
          <w:szCs w:val="24"/>
        </w:rPr>
        <w:t>riverains</w:t>
      </w:r>
      <w:r w:rsidRPr="003D07B9">
        <w:rPr>
          <w:rFonts w:ascii="Cambria" w:hAnsi="Cambria"/>
          <w:sz w:val="24"/>
          <w:szCs w:val="24"/>
        </w:rPr>
        <w:t xml:space="preserve"> exposés à des substances toxiques), il est jugé injuste et devient moins acceptable. La question de la justice environnementale et de </w:t>
      </w:r>
      <w:r w:rsidRPr="00EA70EB">
        <w:rPr>
          <w:rFonts w:ascii="Cambria" w:hAnsi="Cambria"/>
          <w:b/>
          <w:bCs/>
          <w:sz w:val="24"/>
          <w:szCs w:val="24"/>
        </w:rPr>
        <w:t>l’équité intergénérationnelle (risques transférés aux générations futures) est centrale dans les débats actuels</w:t>
      </w:r>
      <w:r w:rsidRPr="003D07B9">
        <w:rPr>
          <w:rFonts w:ascii="Cambria" w:hAnsi="Cambria"/>
          <w:sz w:val="24"/>
          <w:szCs w:val="24"/>
        </w:rPr>
        <w:t>.</w:t>
      </w:r>
      <w:r>
        <w:rPr>
          <w:rFonts w:ascii="Cambria" w:hAnsi="Cambria"/>
          <w:sz w:val="24"/>
          <w:szCs w:val="24"/>
        </w:rPr>
        <w:t xml:space="preserve"> </w:t>
      </w:r>
      <w:r w:rsidRPr="00EA70EB">
        <w:rPr>
          <w:rFonts w:ascii="Cambria" w:hAnsi="Cambria"/>
          <w:sz w:val="24"/>
          <w:szCs w:val="24"/>
        </w:rPr>
        <w:t xml:space="preserve">Les travaux sur la justice environnementale (Bullard, 2021 ; </w:t>
      </w:r>
      <w:proofErr w:type="spellStart"/>
      <w:r w:rsidRPr="00EA70EB">
        <w:rPr>
          <w:rFonts w:ascii="Cambria" w:hAnsi="Cambria"/>
          <w:sz w:val="24"/>
          <w:szCs w:val="24"/>
        </w:rPr>
        <w:t>Schlosberg</w:t>
      </w:r>
      <w:proofErr w:type="spellEnd"/>
      <w:r w:rsidRPr="00EA70EB">
        <w:rPr>
          <w:rFonts w:ascii="Cambria" w:hAnsi="Cambria"/>
          <w:sz w:val="24"/>
          <w:szCs w:val="24"/>
        </w:rPr>
        <w:t>, 2019) montrent que certains groupes sociaux, souvent déjà défavorisés</w:t>
      </w:r>
      <w:r>
        <w:rPr>
          <w:rFonts w:ascii="Cambria" w:hAnsi="Cambria"/>
          <w:sz w:val="24"/>
          <w:szCs w:val="24"/>
        </w:rPr>
        <w:t xml:space="preserve"> et fragilisés</w:t>
      </w:r>
      <w:r w:rsidRPr="00EA70EB">
        <w:rPr>
          <w:rFonts w:ascii="Cambria" w:hAnsi="Cambria"/>
          <w:sz w:val="24"/>
          <w:szCs w:val="24"/>
        </w:rPr>
        <w:t xml:space="preserve">, supportent une charge disproportionnée de risques environnementaux (pollution industrielle, exposition aux produits chimiques, nuisances sonores ou climatiques). Dans ces cas, le danger n’est pas seulement sanitaire mais aussi social : il </w:t>
      </w:r>
      <w:r w:rsidRPr="00EA70EB">
        <w:rPr>
          <w:rFonts w:ascii="Cambria" w:hAnsi="Cambria"/>
          <w:b/>
          <w:bCs/>
          <w:sz w:val="24"/>
          <w:szCs w:val="24"/>
        </w:rPr>
        <w:t>accroît les inégalités existantes</w:t>
      </w:r>
      <w:r w:rsidRPr="00EA70EB">
        <w:rPr>
          <w:rFonts w:ascii="Cambria" w:hAnsi="Cambria"/>
          <w:sz w:val="24"/>
          <w:szCs w:val="24"/>
        </w:rPr>
        <w:t>, ce qui contribue fortement à son inacceptabilité.</w:t>
      </w:r>
    </w:p>
    <w:p w14:paraId="05A7B71E" w14:textId="77777777" w:rsidR="005332B4" w:rsidRPr="003D07B9" w:rsidRDefault="005332B4" w:rsidP="005332B4">
      <w:pPr>
        <w:pStyle w:val="Paragraphedeliste"/>
        <w:numPr>
          <w:ilvl w:val="0"/>
          <w:numId w:val="14"/>
        </w:numPr>
        <w:spacing w:before="40"/>
        <w:ind w:left="357" w:hanging="357"/>
        <w:contextualSpacing w:val="0"/>
        <w:jc w:val="both"/>
        <w:rPr>
          <w:rFonts w:ascii="Cambria" w:hAnsi="Cambria"/>
          <w:b/>
          <w:bCs/>
          <w:sz w:val="24"/>
          <w:szCs w:val="24"/>
        </w:rPr>
      </w:pPr>
      <w:r w:rsidRPr="003D07B9">
        <w:rPr>
          <w:rFonts w:ascii="Cambria" w:hAnsi="Cambria"/>
          <w:b/>
          <w:bCs/>
          <w:sz w:val="24"/>
          <w:szCs w:val="24"/>
        </w:rPr>
        <w:t>Confiance dans les institutions</w:t>
      </w:r>
      <w:r>
        <w:rPr>
          <w:rFonts w:ascii="Cambria" w:hAnsi="Cambria"/>
          <w:sz w:val="24"/>
          <w:szCs w:val="24"/>
        </w:rPr>
        <w:t> :</w:t>
      </w:r>
      <w:r>
        <w:rPr>
          <w:rFonts w:ascii="Cambria" w:hAnsi="Cambria"/>
          <w:b/>
          <w:bCs/>
          <w:sz w:val="24"/>
          <w:szCs w:val="24"/>
        </w:rPr>
        <w:t xml:space="preserve"> </w:t>
      </w:r>
      <w:r w:rsidRPr="003D07B9">
        <w:rPr>
          <w:rFonts w:ascii="Cambria" w:hAnsi="Cambria"/>
          <w:sz w:val="24"/>
          <w:szCs w:val="24"/>
        </w:rPr>
        <w:t xml:space="preserve">Enfin, la confiance accordée aux institutions publiques, aux scientifiques, aux entreprises ou aux décideurs politiques influence </w:t>
      </w:r>
      <w:r w:rsidRPr="003D07B9">
        <w:rPr>
          <w:rFonts w:ascii="Cambria" w:hAnsi="Cambria"/>
          <w:sz w:val="24"/>
          <w:szCs w:val="24"/>
        </w:rPr>
        <w:lastRenderedPageBreak/>
        <w:t>directement l’acceptabilité. Si les autorités sont perçues comme transparentes, compétentes et soucieuses de l’intérêt général, les risques associés à leurs décisions sont mieux tolérés. À l’inverse, un déficit de confiance (lié à des scandales, des mensonges ou une communication perçue comme opaque) peut rendre même de faibles risques inacceptables.</w:t>
      </w:r>
    </w:p>
    <w:p w14:paraId="0E28A4C3" w14:textId="77777777" w:rsidR="005332B4" w:rsidRDefault="005332B4" w:rsidP="005332B4">
      <w:pPr>
        <w:jc w:val="both"/>
        <w:rPr>
          <w:rFonts w:ascii="Cambria" w:hAnsi="Cambria"/>
          <w:sz w:val="24"/>
          <w:szCs w:val="24"/>
        </w:rPr>
      </w:pPr>
    </w:p>
    <w:p w14:paraId="48457C6B" w14:textId="77777777" w:rsidR="005332B4" w:rsidRPr="00823E44" w:rsidRDefault="005332B4" w:rsidP="005332B4">
      <w:pPr>
        <w:spacing w:before="40"/>
        <w:jc w:val="both"/>
        <w:rPr>
          <w:rFonts w:ascii="Cambria" w:hAnsi="Cambria"/>
          <w:color w:val="80340D" w:themeColor="accent2" w:themeShade="80"/>
          <w:sz w:val="24"/>
          <w:szCs w:val="24"/>
        </w:rPr>
      </w:pPr>
      <w:r w:rsidRPr="00823E44">
        <w:rPr>
          <w:rFonts w:ascii="Cambria" w:hAnsi="Cambria"/>
          <w:b/>
          <w:bCs/>
          <w:color w:val="80340D" w:themeColor="accent2" w:themeShade="80"/>
          <w:sz w:val="24"/>
          <w:szCs w:val="24"/>
        </w:rPr>
        <w:t>L’usage des pesticides illustre bien cette dynamique autour de l’acceptabilité</w:t>
      </w:r>
      <w:r w:rsidRPr="00823E44">
        <w:rPr>
          <w:rFonts w:ascii="Cambria" w:hAnsi="Cambria"/>
          <w:color w:val="80340D" w:themeColor="accent2" w:themeShade="80"/>
          <w:sz w:val="24"/>
          <w:szCs w:val="24"/>
        </w:rPr>
        <w:t xml:space="preserve"> </w:t>
      </w:r>
    </w:p>
    <w:p w14:paraId="2CC2FBD3" w14:textId="77777777" w:rsidR="005332B4" w:rsidRPr="00F2335C" w:rsidRDefault="005332B4" w:rsidP="005332B4">
      <w:pPr>
        <w:spacing w:before="40"/>
        <w:jc w:val="both"/>
        <w:rPr>
          <w:rFonts w:ascii="Cambria" w:hAnsi="Cambria"/>
          <w:sz w:val="24"/>
          <w:szCs w:val="24"/>
        </w:rPr>
      </w:pPr>
    </w:p>
    <w:p w14:paraId="4F439728" w14:textId="77777777" w:rsidR="005332B4" w:rsidRPr="00F2335C" w:rsidRDefault="005332B4" w:rsidP="005332B4">
      <w:pPr>
        <w:jc w:val="both"/>
        <w:rPr>
          <w:rFonts w:ascii="Cambria" w:hAnsi="Cambria"/>
          <w:sz w:val="24"/>
          <w:szCs w:val="24"/>
        </w:rPr>
      </w:pPr>
      <w:r w:rsidRPr="00F2335C">
        <w:rPr>
          <w:rFonts w:ascii="Cambria" w:hAnsi="Cambria"/>
          <w:sz w:val="24"/>
          <w:szCs w:val="24"/>
        </w:rPr>
        <w:t>L’usage des pesticides illustre bien la manière dont l’acceptabilité d’un risque peut évoluer au fil du temps.</w:t>
      </w:r>
      <w:r>
        <w:rPr>
          <w:rFonts w:ascii="Cambria" w:hAnsi="Cambria"/>
          <w:sz w:val="24"/>
          <w:szCs w:val="24"/>
        </w:rPr>
        <w:t xml:space="preserve"> </w:t>
      </w:r>
      <w:r w:rsidRPr="002C4953">
        <w:rPr>
          <w:rFonts w:ascii="Cambria" w:hAnsi="Cambria"/>
          <w:sz w:val="24"/>
          <w:szCs w:val="24"/>
        </w:rPr>
        <w:t>C’est</w:t>
      </w:r>
      <w:r>
        <w:rPr>
          <w:rFonts w:ascii="Cambria" w:hAnsi="Cambria"/>
          <w:sz w:val="24"/>
          <w:szCs w:val="24"/>
        </w:rPr>
        <w:t xml:space="preserve"> aussi</w:t>
      </w:r>
      <w:r w:rsidRPr="002C4953">
        <w:rPr>
          <w:rFonts w:ascii="Cambria" w:hAnsi="Cambria"/>
          <w:sz w:val="24"/>
          <w:szCs w:val="24"/>
        </w:rPr>
        <w:t xml:space="preserve"> un exemple-type où l’acceptabilité dépend du compromis en</w:t>
      </w:r>
      <w:r>
        <w:rPr>
          <w:rFonts w:ascii="Cambria" w:hAnsi="Cambria"/>
          <w:sz w:val="24"/>
          <w:szCs w:val="24"/>
        </w:rPr>
        <w:t>tre</w:t>
      </w:r>
      <w:r w:rsidRPr="002C4953">
        <w:rPr>
          <w:rFonts w:ascii="Cambria" w:hAnsi="Cambria"/>
          <w:sz w:val="24"/>
          <w:szCs w:val="24"/>
        </w:rPr>
        <w:t xml:space="preserve"> santé publique, durabilité et impératifs</w:t>
      </w:r>
      <w:r>
        <w:rPr>
          <w:rFonts w:ascii="Cambria" w:hAnsi="Cambria"/>
          <w:sz w:val="24"/>
          <w:szCs w:val="24"/>
        </w:rPr>
        <w:t xml:space="preserve"> économiques et</w:t>
      </w:r>
      <w:r w:rsidRPr="002C4953">
        <w:rPr>
          <w:rFonts w:ascii="Cambria" w:hAnsi="Cambria"/>
          <w:sz w:val="24"/>
          <w:szCs w:val="24"/>
        </w:rPr>
        <w:t xml:space="preserve"> agricoles.</w:t>
      </w:r>
    </w:p>
    <w:p w14:paraId="6F0ABAA3" w14:textId="77777777" w:rsidR="005332B4" w:rsidRPr="00F2335C" w:rsidRDefault="005332B4" w:rsidP="005332B4">
      <w:pPr>
        <w:jc w:val="both"/>
        <w:rPr>
          <w:rFonts w:ascii="Cambria" w:hAnsi="Cambria"/>
          <w:sz w:val="24"/>
          <w:szCs w:val="24"/>
        </w:rPr>
      </w:pPr>
    </w:p>
    <w:p w14:paraId="09A6E8A5" w14:textId="77777777" w:rsidR="005332B4" w:rsidRPr="00F2335C" w:rsidRDefault="005332B4" w:rsidP="005332B4">
      <w:pPr>
        <w:jc w:val="both"/>
        <w:rPr>
          <w:rFonts w:ascii="Cambria" w:hAnsi="Cambria"/>
          <w:sz w:val="24"/>
          <w:szCs w:val="24"/>
        </w:rPr>
      </w:pPr>
      <w:r w:rsidRPr="00F2335C">
        <w:rPr>
          <w:rFonts w:ascii="Cambria" w:hAnsi="Cambria"/>
          <w:sz w:val="24"/>
          <w:szCs w:val="24"/>
        </w:rPr>
        <w:t xml:space="preserve">Après la Seconde Guerre mondiale, le DDT, un insecticide organo-chloré découvert en 1939 et largement utilisé dès les années 1940, devient un symbole de modernité et d’efficacité agricole. Les pesticides sont alors perçus comme une solution indispensable pour accroître les rendements, nourrir la population et garantir la sécurité alimentaire (Caron et al., 2014), tandis que les risques sanitaires et environnementaux sont encore peu étudiés par les scientifiques et minimisés par les industriels jusque dans les années 1970. L’acceptabilité sociale de l’usage des pesticides est alors très élevée. Durant cette période, les fabricants n’hésitaient pas à vanter explicitement l’innocuité de leurs pesticides. En témoignent ces quelques messages publicitaires : </w:t>
      </w:r>
    </w:p>
    <w:p w14:paraId="6337A4EE" w14:textId="77777777" w:rsidR="005332B4" w:rsidRPr="00F2335C" w:rsidRDefault="005332B4" w:rsidP="005332B4">
      <w:pPr>
        <w:jc w:val="both"/>
        <w:rPr>
          <w:rFonts w:ascii="Cambria" w:hAnsi="Cambria"/>
          <w:sz w:val="24"/>
          <w:szCs w:val="24"/>
        </w:rPr>
      </w:pPr>
    </w:p>
    <w:tbl>
      <w:tblPr>
        <w:tblStyle w:val="TableauGrille4-Accentuation2"/>
        <w:tblW w:w="0" w:type="auto"/>
        <w:tblLook w:val="04A0" w:firstRow="1" w:lastRow="0" w:firstColumn="1" w:lastColumn="0" w:noHBand="0" w:noVBand="1"/>
      </w:tblPr>
      <w:tblGrid>
        <w:gridCol w:w="1271"/>
        <w:gridCol w:w="2268"/>
        <w:gridCol w:w="3257"/>
        <w:gridCol w:w="2266"/>
      </w:tblGrid>
      <w:tr w:rsidR="005332B4" w:rsidRPr="00F2335C" w14:paraId="5E6C992D" w14:textId="77777777" w:rsidTr="00DF2508">
        <w:trPr>
          <w:cnfStyle w:val="100000000000" w:firstRow="1" w:lastRow="0" w:firstColumn="0" w:lastColumn="0" w:oddVBand="0" w:evenVBand="0" w:oddHBand="0" w:evenHBand="0" w:firstRowFirstColumn="0" w:firstRowLastColumn="0" w:lastRowFirstColumn="0" w:lastRowLastColumn="0"/>
          <w:trHeight w:val="708"/>
        </w:trPr>
        <w:tc>
          <w:tcPr>
            <w:cnfStyle w:val="001000000000" w:firstRow="0" w:lastRow="0" w:firstColumn="1" w:lastColumn="0" w:oddVBand="0" w:evenVBand="0" w:oddHBand="0" w:evenHBand="0" w:firstRowFirstColumn="0" w:firstRowLastColumn="0" w:lastRowFirstColumn="0" w:lastRowLastColumn="0"/>
            <w:tcW w:w="1271" w:type="dxa"/>
          </w:tcPr>
          <w:p w14:paraId="68BF37FE" w14:textId="77777777" w:rsidR="005332B4" w:rsidRPr="00F2335C" w:rsidRDefault="005332B4" w:rsidP="00B57102">
            <w:pPr>
              <w:jc w:val="center"/>
              <w:rPr>
                <w:rFonts w:ascii="Cambria" w:hAnsi="Cambria"/>
                <w:sz w:val="24"/>
                <w:szCs w:val="24"/>
              </w:rPr>
            </w:pPr>
            <w:r w:rsidRPr="00F2335C">
              <w:rPr>
                <w:rFonts w:ascii="Cambria" w:hAnsi="Cambria"/>
                <w:sz w:val="24"/>
                <w:szCs w:val="24"/>
              </w:rPr>
              <w:t>Année</w:t>
            </w:r>
          </w:p>
        </w:tc>
        <w:tc>
          <w:tcPr>
            <w:tcW w:w="2268" w:type="dxa"/>
          </w:tcPr>
          <w:p w14:paraId="0AD3FCF1" w14:textId="77777777" w:rsidR="005332B4" w:rsidRPr="00F2335C" w:rsidRDefault="005332B4" w:rsidP="00B57102">
            <w:pPr>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F2335C">
              <w:rPr>
                <w:rFonts w:ascii="Cambria" w:hAnsi="Cambria"/>
                <w:sz w:val="24"/>
                <w:szCs w:val="24"/>
              </w:rPr>
              <w:t>Marque / Produit</w:t>
            </w:r>
          </w:p>
        </w:tc>
        <w:tc>
          <w:tcPr>
            <w:tcW w:w="3257" w:type="dxa"/>
          </w:tcPr>
          <w:p w14:paraId="019B7216" w14:textId="77777777" w:rsidR="005332B4" w:rsidRPr="00F2335C" w:rsidRDefault="005332B4" w:rsidP="00B57102">
            <w:pPr>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4"/>
                <w:szCs w:val="24"/>
              </w:rPr>
            </w:pPr>
            <w:r w:rsidRPr="00F2335C">
              <w:rPr>
                <w:rFonts w:ascii="Cambria" w:hAnsi="Cambria"/>
                <w:sz w:val="24"/>
                <w:szCs w:val="24"/>
              </w:rPr>
              <w:t xml:space="preserve">Citation publicitaire </w:t>
            </w:r>
          </w:p>
          <w:p w14:paraId="437462E0" w14:textId="77777777" w:rsidR="005332B4" w:rsidRPr="00F2335C" w:rsidRDefault="005332B4" w:rsidP="00B57102">
            <w:pPr>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4"/>
                <w:szCs w:val="24"/>
              </w:rPr>
            </w:pPr>
            <w:r w:rsidRPr="00F2335C">
              <w:rPr>
                <w:rFonts w:ascii="Cambria" w:hAnsi="Cambria"/>
                <w:sz w:val="24"/>
                <w:szCs w:val="24"/>
              </w:rPr>
              <w:t>(VO et traduction)</w:t>
            </w:r>
          </w:p>
        </w:tc>
        <w:tc>
          <w:tcPr>
            <w:tcW w:w="2266" w:type="dxa"/>
          </w:tcPr>
          <w:p w14:paraId="6301FDA5" w14:textId="77777777" w:rsidR="005332B4" w:rsidRPr="00F2335C" w:rsidRDefault="005332B4" w:rsidP="00B57102">
            <w:pPr>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4"/>
                <w:szCs w:val="24"/>
              </w:rPr>
            </w:pPr>
            <w:r w:rsidRPr="00F2335C">
              <w:rPr>
                <w:rFonts w:ascii="Cambria" w:hAnsi="Cambria"/>
                <w:sz w:val="24"/>
                <w:szCs w:val="24"/>
              </w:rPr>
              <w:t>Source</w:t>
            </w:r>
          </w:p>
        </w:tc>
      </w:tr>
      <w:tr w:rsidR="005332B4" w:rsidRPr="00F2335C" w14:paraId="049E33A9" w14:textId="77777777" w:rsidTr="00DF2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073D4551" w14:textId="77777777" w:rsidR="005332B4" w:rsidRPr="00F2335C" w:rsidRDefault="005332B4" w:rsidP="00B57102">
            <w:pPr>
              <w:jc w:val="center"/>
              <w:rPr>
                <w:rFonts w:ascii="Cambria" w:hAnsi="Cambria"/>
                <w:sz w:val="24"/>
                <w:szCs w:val="24"/>
              </w:rPr>
            </w:pPr>
            <w:r w:rsidRPr="00F2335C">
              <w:rPr>
                <w:rFonts w:ascii="Cambria" w:hAnsi="Cambria"/>
                <w:sz w:val="24"/>
                <w:szCs w:val="24"/>
              </w:rPr>
              <w:t>1947</w:t>
            </w:r>
          </w:p>
        </w:tc>
        <w:tc>
          <w:tcPr>
            <w:tcW w:w="2268" w:type="dxa"/>
          </w:tcPr>
          <w:p w14:paraId="5498F277" w14:textId="77777777" w:rsidR="005332B4" w:rsidRPr="00F2335C" w:rsidRDefault="005332B4" w:rsidP="00B57102">
            <w:pP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proofErr w:type="spellStart"/>
            <w:r w:rsidRPr="00F2335C">
              <w:rPr>
                <w:rFonts w:ascii="Cambria" w:hAnsi="Cambria"/>
                <w:sz w:val="24"/>
                <w:szCs w:val="24"/>
              </w:rPr>
              <w:t>Trimz</w:t>
            </w:r>
            <w:proofErr w:type="spellEnd"/>
            <w:r w:rsidRPr="00F2335C">
              <w:rPr>
                <w:rFonts w:ascii="Cambria" w:hAnsi="Cambria"/>
                <w:sz w:val="24"/>
                <w:szCs w:val="24"/>
              </w:rPr>
              <w:t xml:space="preserve"> </w:t>
            </w:r>
          </w:p>
          <w:p w14:paraId="0A9AA85C" w14:textId="77777777" w:rsidR="005332B4" w:rsidRPr="00F2335C" w:rsidRDefault="005332B4" w:rsidP="00B57102">
            <w:pP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F2335C">
              <w:rPr>
                <w:rFonts w:ascii="Cambria" w:hAnsi="Cambria"/>
                <w:sz w:val="24"/>
                <w:szCs w:val="24"/>
              </w:rPr>
              <w:t>(pour du papier peint imprégné de DDT)</w:t>
            </w:r>
          </w:p>
        </w:tc>
        <w:tc>
          <w:tcPr>
            <w:tcW w:w="3257" w:type="dxa"/>
          </w:tcPr>
          <w:p w14:paraId="6A397ED4" w14:textId="77777777" w:rsidR="005332B4" w:rsidRPr="00F2335C" w:rsidRDefault="005332B4" w:rsidP="00B57102">
            <w:pPr>
              <w:cnfStyle w:val="000000100000" w:firstRow="0" w:lastRow="0" w:firstColumn="0" w:lastColumn="0" w:oddVBand="0" w:evenVBand="0" w:oddHBand="1" w:evenHBand="0" w:firstRowFirstColumn="0" w:firstRowLastColumn="0" w:lastRowFirstColumn="0" w:lastRowLastColumn="0"/>
              <w:rPr>
                <w:rFonts w:ascii="Cambria" w:hAnsi="Cambria"/>
                <w:sz w:val="24"/>
                <w:szCs w:val="24"/>
                <w:lang w:val="en-US"/>
              </w:rPr>
            </w:pPr>
            <w:r w:rsidRPr="00F2335C">
              <w:rPr>
                <w:rFonts w:ascii="Cambria" w:hAnsi="Cambria"/>
                <w:sz w:val="24"/>
                <w:szCs w:val="24"/>
                <w:lang w:val="en-US"/>
              </w:rPr>
              <w:t>“</w:t>
            </w:r>
            <w:r w:rsidRPr="00F2335C">
              <w:rPr>
                <w:rFonts w:ascii="Cambria" w:hAnsi="Cambria"/>
                <w:i/>
                <w:iCs/>
                <w:sz w:val="24"/>
                <w:szCs w:val="24"/>
                <w:lang w:val="en-US"/>
              </w:rPr>
              <w:t>NON-HAZARDOUS to children or adults, to pets or clothes. Certified to be absolutely safe for home use</w:t>
            </w:r>
            <w:r w:rsidRPr="00F2335C">
              <w:rPr>
                <w:rFonts w:ascii="Cambria" w:hAnsi="Cambria"/>
                <w:sz w:val="24"/>
                <w:szCs w:val="24"/>
                <w:lang w:val="en-US"/>
              </w:rPr>
              <w:t xml:space="preserve">.” </w:t>
            </w:r>
          </w:p>
          <w:p w14:paraId="3AC367B4" w14:textId="77777777" w:rsidR="005332B4" w:rsidRPr="00F2335C" w:rsidRDefault="005332B4" w:rsidP="00B57102">
            <w:pPr>
              <w:cnfStyle w:val="000000100000" w:firstRow="0" w:lastRow="0" w:firstColumn="0" w:lastColumn="0" w:oddVBand="0" w:evenVBand="0" w:oddHBand="1" w:evenHBand="0" w:firstRowFirstColumn="0" w:firstRowLastColumn="0" w:lastRowFirstColumn="0" w:lastRowLastColumn="0"/>
              <w:rPr>
                <w:rFonts w:ascii="Cambria" w:hAnsi="Cambria"/>
                <w:sz w:val="24"/>
                <w:szCs w:val="24"/>
                <w:lang w:val="en-US"/>
              </w:rPr>
            </w:pPr>
          </w:p>
          <w:p w14:paraId="756E3250" w14:textId="77777777" w:rsidR="005332B4" w:rsidRPr="00F2335C" w:rsidRDefault="005332B4" w:rsidP="00B57102">
            <w:pP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F2335C">
              <w:rPr>
                <w:rFonts w:ascii="Cambria" w:hAnsi="Cambria"/>
                <w:sz w:val="24"/>
                <w:szCs w:val="24"/>
              </w:rPr>
              <w:t xml:space="preserve">« </w:t>
            </w:r>
            <w:r w:rsidRPr="00F2335C">
              <w:rPr>
                <w:rFonts w:ascii="Cambria" w:hAnsi="Cambria"/>
                <w:i/>
                <w:iCs/>
                <w:sz w:val="24"/>
                <w:szCs w:val="24"/>
              </w:rPr>
              <w:t>Non dangereux pour les enfants ou les adultes, pour les animaux domestiques ou les vêtements. Certifié absolument sans danger pour un usage domestique</w:t>
            </w:r>
            <w:r w:rsidRPr="00F2335C">
              <w:rPr>
                <w:rFonts w:ascii="Cambria" w:hAnsi="Cambria"/>
                <w:sz w:val="24"/>
                <w:szCs w:val="24"/>
              </w:rPr>
              <w:t>. »</w:t>
            </w:r>
          </w:p>
        </w:tc>
        <w:tc>
          <w:tcPr>
            <w:tcW w:w="2266" w:type="dxa"/>
          </w:tcPr>
          <w:p w14:paraId="1F8D23AC" w14:textId="77777777" w:rsidR="005332B4" w:rsidRPr="00F2335C" w:rsidRDefault="005332B4" w:rsidP="00B57102">
            <w:pP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proofErr w:type="spellStart"/>
            <w:r w:rsidRPr="00F2335C">
              <w:rPr>
                <w:rFonts w:ascii="Cambria" w:hAnsi="Cambria"/>
                <w:sz w:val="24"/>
                <w:szCs w:val="24"/>
              </w:rPr>
              <w:t>Women’s</w:t>
            </w:r>
            <w:proofErr w:type="spellEnd"/>
            <w:r w:rsidRPr="00F2335C">
              <w:rPr>
                <w:rFonts w:ascii="Cambria" w:hAnsi="Cambria"/>
                <w:sz w:val="24"/>
                <w:szCs w:val="24"/>
              </w:rPr>
              <w:t xml:space="preserve"> Day, 1947</w:t>
            </w:r>
          </w:p>
        </w:tc>
      </w:tr>
      <w:tr w:rsidR="005332B4" w:rsidRPr="00F2335C" w14:paraId="0B6D6FDC" w14:textId="77777777" w:rsidTr="00DF2508">
        <w:tc>
          <w:tcPr>
            <w:cnfStyle w:val="001000000000" w:firstRow="0" w:lastRow="0" w:firstColumn="1" w:lastColumn="0" w:oddVBand="0" w:evenVBand="0" w:oddHBand="0" w:evenHBand="0" w:firstRowFirstColumn="0" w:firstRowLastColumn="0" w:lastRowFirstColumn="0" w:lastRowLastColumn="0"/>
            <w:tcW w:w="1271" w:type="dxa"/>
          </w:tcPr>
          <w:p w14:paraId="44309A62" w14:textId="77777777" w:rsidR="005332B4" w:rsidRPr="00F2335C" w:rsidRDefault="005332B4" w:rsidP="00B57102">
            <w:pPr>
              <w:jc w:val="center"/>
              <w:rPr>
                <w:rFonts w:ascii="Cambria" w:hAnsi="Cambria"/>
                <w:sz w:val="24"/>
                <w:szCs w:val="24"/>
              </w:rPr>
            </w:pPr>
            <w:r w:rsidRPr="00F2335C">
              <w:rPr>
                <w:rFonts w:ascii="Cambria" w:hAnsi="Cambria"/>
                <w:sz w:val="24"/>
                <w:szCs w:val="24"/>
              </w:rPr>
              <w:t>Années 50–60</w:t>
            </w:r>
          </w:p>
        </w:tc>
        <w:tc>
          <w:tcPr>
            <w:tcW w:w="2268" w:type="dxa"/>
          </w:tcPr>
          <w:p w14:paraId="179F8017" w14:textId="77777777" w:rsidR="005332B4" w:rsidRPr="00F2335C" w:rsidRDefault="005332B4" w:rsidP="00B57102">
            <w:pP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F2335C">
              <w:rPr>
                <w:rFonts w:ascii="Cambria" w:hAnsi="Cambria"/>
                <w:sz w:val="24"/>
                <w:szCs w:val="24"/>
              </w:rPr>
              <w:t>DDT (générique, divers firmes)</w:t>
            </w:r>
          </w:p>
        </w:tc>
        <w:tc>
          <w:tcPr>
            <w:tcW w:w="3257" w:type="dxa"/>
          </w:tcPr>
          <w:p w14:paraId="5D01A7B4" w14:textId="77777777" w:rsidR="005332B4" w:rsidRPr="00F2335C" w:rsidRDefault="005332B4" w:rsidP="00B57102">
            <w:pPr>
              <w:cnfStyle w:val="000000000000" w:firstRow="0" w:lastRow="0" w:firstColumn="0" w:lastColumn="0" w:oddVBand="0" w:evenVBand="0" w:oddHBand="0" w:evenHBand="0" w:firstRowFirstColumn="0" w:firstRowLastColumn="0" w:lastRowFirstColumn="0" w:lastRowLastColumn="0"/>
              <w:rPr>
                <w:rFonts w:ascii="Cambria" w:hAnsi="Cambria"/>
                <w:sz w:val="24"/>
                <w:szCs w:val="24"/>
                <w:lang w:val="en-US"/>
              </w:rPr>
            </w:pPr>
            <w:r w:rsidRPr="00F2335C">
              <w:rPr>
                <w:rFonts w:ascii="Cambria" w:hAnsi="Cambria"/>
                <w:sz w:val="24"/>
                <w:szCs w:val="24"/>
                <w:lang w:val="en-US"/>
              </w:rPr>
              <w:t>“A good human health record” &amp;</w:t>
            </w:r>
          </w:p>
          <w:p w14:paraId="238B8AD2" w14:textId="77777777" w:rsidR="005332B4" w:rsidRPr="00F2335C" w:rsidRDefault="005332B4" w:rsidP="00B57102">
            <w:pPr>
              <w:cnfStyle w:val="000000000000" w:firstRow="0" w:lastRow="0" w:firstColumn="0" w:lastColumn="0" w:oddVBand="0" w:evenVBand="0" w:oddHBand="0" w:evenHBand="0" w:firstRowFirstColumn="0" w:firstRowLastColumn="0" w:lastRowFirstColumn="0" w:lastRowLastColumn="0"/>
              <w:rPr>
                <w:rFonts w:ascii="Cambria" w:hAnsi="Cambria"/>
                <w:sz w:val="24"/>
                <w:szCs w:val="24"/>
                <w:lang w:val="en-US"/>
              </w:rPr>
            </w:pPr>
            <w:r w:rsidRPr="00F2335C">
              <w:rPr>
                <w:rFonts w:ascii="Cambria" w:hAnsi="Cambria"/>
                <w:sz w:val="24"/>
                <w:szCs w:val="24"/>
                <w:lang w:val="en-US"/>
              </w:rPr>
              <w:t xml:space="preserve"> “Little direct evidence of harm to humans” </w:t>
            </w:r>
          </w:p>
          <w:p w14:paraId="3B595961" w14:textId="77777777" w:rsidR="005332B4" w:rsidRPr="00F2335C" w:rsidRDefault="005332B4" w:rsidP="00B57102">
            <w:pPr>
              <w:cnfStyle w:val="000000000000" w:firstRow="0" w:lastRow="0" w:firstColumn="0" w:lastColumn="0" w:oddVBand="0" w:evenVBand="0" w:oddHBand="0" w:evenHBand="0" w:firstRowFirstColumn="0" w:firstRowLastColumn="0" w:lastRowFirstColumn="0" w:lastRowLastColumn="0"/>
              <w:rPr>
                <w:rFonts w:ascii="Cambria" w:hAnsi="Cambria"/>
                <w:sz w:val="24"/>
                <w:szCs w:val="24"/>
                <w:lang w:val="en-US"/>
              </w:rPr>
            </w:pPr>
          </w:p>
          <w:p w14:paraId="6DC6B5D4" w14:textId="77777777" w:rsidR="005332B4" w:rsidRPr="00F2335C" w:rsidRDefault="005332B4" w:rsidP="00B57102">
            <w:pP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F2335C">
              <w:rPr>
                <w:rFonts w:ascii="Cambria" w:hAnsi="Cambria"/>
                <w:sz w:val="24"/>
                <w:szCs w:val="24"/>
              </w:rPr>
              <w:t xml:space="preserve">« </w:t>
            </w:r>
            <w:r w:rsidRPr="00F2335C">
              <w:rPr>
                <w:rFonts w:ascii="Cambria" w:hAnsi="Cambria"/>
                <w:i/>
                <w:iCs/>
                <w:sz w:val="24"/>
                <w:szCs w:val="24"/>
              </w:rPr>
              <w:t>Un bon bilan sanitaire humain » &amp; « Peu de preuves directes de nocivité pour l’homme</w:t>
            </w:r>
            <w:r w:rsidRPr="00F2335C">
              <w:rPr>
                <w:rFonts w:ascii="Cambria" w:hAnsi="Cambria"/>
                <w:sz w:val="24"/>
                <w:szCs w:val="24"/>
              </w:rPr>
              <w:t xml:space="preserve"> ».</w:t>
            </w:r>
          </w:p>
        </w:tc>
        <w:tc>
          <w:tcPr>
            <w:tcW w:w="2266" w:type="dxa"/>
          </w:tcPr>
          <w:p w14:paraId="7B3A6CD0" w14:textId="77777777" w:rsidR="005332B4" w:rsidRPr="00F2335C" w:rsidRDefault="005332B4" w:rsidP="00B57102">
            <w:pP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F2335C">
              <w:rPr>
                <w:rFonts w:ascii="Cambria" w:hAnsi="Cambria"/>
                <w:sz w:val="24"/>
                <w:szCs w:val="24"/>
              </w:rPr>
              <w:t>Propos rapportés de débats sur le DDT dans les années 50–60 (</w:t>
            </w:r>
            <w:proofErr w:type="spellStart"/>
            <w:r w:rsidRPr="00F2335C">
              <w:rPr>
                <w:rFonts w:ascii="Cambria" w:hAnsi="Cambria"/>
                <w:sz w:val="24"/>
                <w:szCs w:val="24"/>
              </w:rPr>
              <w:t>Environmental</w:t>
            </w:r>
            <w:proofErr w:type="spellEnd"/>
            <w:r w:rsidRPr="00F2335C">
              <w:rPr>
                <w:rFonts w:ascii="Cambria" w:hAnsi="Cambria"/>
                <w:sz w:val="24"/>
                <w:szCs w:val="24"/>
              </w:rPr>
              <w:t xml:space="preserve"> Protection Agency)</w:t>
            </w:r>
          </w:p>
        </w:tc>
      </w:tr>
      <w:tr w:rsidR="005332B4" w:rsidRPr="00F2335C" w14:paraId="68CCB310" w14:textId="77777777" w:rsidTr="00DF2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00690DFD" w14:textId="77777777" w:rsidR="005332B4" w:rsidRPr="00F2335C" w:rsidRDefault="005332B4" w:rsidP="00B57102">
            <w:pPr>
              <w:jc w:val="center"/>
              <w:rPr>
                <w:rFonts w:ascii="Cambria" w:hAnsi="Cambria"/>
                <w:sz w:val="24"/>
                <w:szCs w:val="24"/>
              </w:rPr>
            </w:pPr>
            <w:r w:rsidRPr="00F2335C">
              <w:rPr>
                <w:rFonts w:ascii="Cambria" w:hAnsi="Cambria"/>
                <w:sz w:val="24"/>
                <w:szCs w:val="24"/>
              </w:rPr>
              <w:t>1956</w:t>
            </w:r>
          </w:p>
        </w:tc>
        <w:tc>
          <w:tcPr>
            <w:tcW w:w="2268" w:type="dxa"/>
          </w:tcPr>
          <w:p w14:paraId="594A45D3" w14:textId="77777777" w:rsidR="005332B4" w:rsidRPr="00F2335C" w:rsidRDefault="005332B4" w:rsidP="00B57102">
            <w:pPr>
              <w:cnfStyle w:val="000000100000" w:firstRow="0" w:lastRow="0" w:firstColumn="0" w:lastColumn="0" w:oddVBand="0" w:evenVBand="0" w:oddHBand="1" w:evenHBand="0" w:firstRowFirstColumn="0" w:firstRowLastColumn="0" w:lastRowFirstColumn="0" w:lastRowLastColumn="0"/>
              <w:rPr>
                <w:rFonts w:ascii="Cambria" w:hAnsi="Cambria"/>
                <w:sz w:val="24"/>
                <w:szCs w:val="24"/>
                <w:lang w:val="en-US"/>
              </w:rPr>
            </w:pPr>
            <w:r w:rsidRPr="00F2335C">
              <w:rPr>
                <w:rFonts w:ascii="Cambria" w:hAnsi="Cambria"/>
                <w:sz w:val="24"/>
                <w:szCs w:val="24"/>
                <w:lang w:val="en-US"/>
              </w:rPr>
              <w:t xml:space="preserve">Slug-A-Bug </w:t>
            </w:r>
          </w:p>
          <w:p w14:paraId="1165A239" w14:textId="77777777" w:rsidR="005332B4" w:rsidRPr="00F2335C" w:rsidRDefault="005332B4" w:rsidP="00B57102">
            <w:pPr>
              <w:cnfStyle w:val="000000100000" w:firstRow="0" w:lastRow="0" w:firstColumn="0" w:lastColumn="0" w:oddVBand="0" w:evenVBand="0" w:oddHBand="1" w:evenHBand="0" w:firstRowFirstColumn="0" w:firstRowLastColumn="0" w:lastRowFirstColumn="0" w:lastRowLastColumn="0"/>
              <w:rPr>
                <w:rFonts w:ascii="Cambria" w:hAnsi="Cambria"/>
                <w:sz w:val="24"/>
                <w:szCs w:val="24"/>
                <w:lang w:val="en-US"/>
              </w:rPr>
            </w:pPr>
            <w:r w:rsidRPr="00F2335C">
              <w:rPr>
                <w:rFonts w:ascii="Cambria" w:hAnsi="Cambria"/>
                <w:sz w:val="24"/>
                <w:szCs w:val="24"/>
                <w:lang w:val="en-US"/>
              </w:rPr>
              <w:t>(spray insecticide)</w:t>
            </w:r>
          </w:p>
        </w:tc>
        <w:tc>
          <w:tcPr>
            <w:tcW w:w="3257" w:type="dxa"/>
          </w:tcPr>
          <w:p w14:paraId="030D1C28" w14:textId="77777777" w:rsidR="005332B4" w:rsidRPr="00F2335C" w:rsidRDefault="005332B4" w:rsidP="00B57102">
            <w:pPr>
              <w:cnfStyle w:val="000000100000" w:firstRow="0" w:lastRow="0" w:firstColumn="0" w:lastColumn="0" w:oddVBand="0" w:evenVBand="0" w:oddHBand="1" w:evenHBand="0" w:firstRowFirstColumn="0" w:firstRowLastColumn="0" w:lastRowFirstColumn="0" w:lastRowLastColumn="0"/>
              <w:rPr>
                <w:rFonts w:ascii="Cambria" w:hAnsi="Cambria"/>
                <w:sz w:val="24"/>
                <w:szCs w:val="24"/>
                <w:lang w:val="en-US"/>
              </w:rPr>
            </w:pPr>
            <w:proofErr w:type="spellStart"/>
            <w:r w:rsidRPr="00F2335C">
              <w:rPr>
                <w:rFonts w:ascii="Cambria" w:hAnsi="Cambria"/>
                <w:sz w:val="24"/>
                <w:szCs w:val="24"/>
                <w:lang w:val="en-US"/>
              </w:rPr>
              <w:t>L’annonce</w:t>
            </w:r>
            <w:proofErr w:type="spellEnd"/>
            <w:r w:rsidRPr="00F2335C">
              <w:rPr>
                <w:rFonts w:ascii="Cambria" w:hAnsi="Cambria"/>
                <w:sz w:val="24"/>
                <w:szCs w:val="24"/>
                <w:lang w:val="en-US"/>
              </w:rPr>
              <w:t xml:space="preserve"> </w:t>
            </w:r>
            <w:proofErr w:type="spellStart"/>
            <w:r w:rsidRPr="00F2335C">
              <w:rPr>
                <w:rFonts w:ascii="Cambria" w:hAnsi="Cambria"/>
                <w:sz w:val="24"/>
                <w:szCs w:val="24"/>
                <w:lang w:val="en-US"/>
              </w:rPr>
              <w:t>mettait</w:t>
            </w:r>
            <w:proofErr w:type="spellEnd"/>
            <w:r w:rsidRPr="00F2335C">
              <w:rPr>
                <w:rFonts w:ascii="Cambria" w:hAnsi="Cambria"/>
                <w:sz w:val="24"/>
                <w:szCs w:val="24"/>
                <w:lang w:val="en-US"/>
              </w:rPr>
              <w:t xml:space="preserve"> </w:t>
            </w:r>
            <w:proofErr w:type="spellStart"/>
            <w:r w:rsidRPr="00F2335C">
              <w:rPr>
                <w:rFonts w:ascii="Cambria" w:hAnsi="Cambria"/>
                <w:sz w:val="24"/>
                <w:szCs w:val="24"/>
                <w:lang w:val="en-US"/>
              </w:rPr>
              <w:t>en</w:t>
            </w:r>
            <w:proofErr w:type="spellEnd"/>
            <w:r w:rsidRPr="00F2335C">
              <w:rPr>
                <w:rFonts w:ascii="Cambria" w:hAnsi="Cambria"/>
                <w:sz w:val="24"/>
                <w:szCs w:val="24"/>
                <w:lang w:val="en-US"/>
              </w:rPr>
              <w:t xml:space="preserve"> avant: “Safe to use… for use around children, food and pets.”</w:t>
            </w:r>
          </w:p>
          <w:p w14:paraId="28FDEDE5" w14:textId="77777777" w:rsidR="005332B4" w:rsidRPr="00F2335C" w:rsidRDefault="005332B4" w:rsidP="00B57102">
            <w:pPr>
              <w:cnfStyle w:val="000000100000" w:firstRow="0" w:lastRow="0" w:firstColumn="0" w:lastColumn="0" w:oddVBand="0" w:evenVBand="0" w:oddHBand="1" w:evenHBand="0" w:firstRowFirstColumn="0" w:firstRowLastColumn="0" w:lastRowFirstColumn="0" w:lastRowLastColumn="0"/>
              <w:rPr>
                <w:rFonts w:ascii="Cambria" w:hAnsi="Cambria"/>
                <w:sz w:val="24"/>
                <w:szCs w:val="24"/>
                <w:lang w:val="en-US"/>
              </w:rPr>
            </w:pPr>
          </w:p>
          <w:p w14:paraId="309C28FC" w14:textId="77777777" w:rsidR="005332B4" w:rsidRPr="00F2335C" w:rsidRDefault="005332B4" w:rsidP="00B57102">
            <w:pPr>
              <w:cnfStyle w:val="000000100000" w:firstRow="0" w:lastRow="0" w:firstColumn="0" w:lastColumn="0" w:oddVBand="0" w:evenVBand="0" w:oddHBand="1" w:evenHBand="0" w:firstRowFirstColumn="0" w:firstRowLastColumn="0" w:lastRowFirstColumn="0" w:lastRowLastColumn="0"/>
              <w:rPr>
                <w:rFonts w:ascii="Cambria" w:hAnsi="Cambria"/>
                <w:i/>
                <w:iCs/>
                <w:sz w:val="24"/>
                <w:szCs w:val="24"/>
              </w:rPr>
            </w:pPr>
            <w:r w:rsidRPr="00F2335C">
              <w:rPr>
                <w:rFonts w:ascii="Cambria" w:hAnsi="Cambria"/>
                <w:i/>
                <w:iCs/>
                <w:sz w:val="24"/>
                <w:szCs w:val="24"/>
              </w:rPr>
              <w:lastRenderedPageBreak/>
              <w:t>« Sans danger d’utilisation… utilisable près des enfants, des aliments et des animaux. »</w:t>
            </w:r>
          </w:p>
        </w:tc>
        <w:tc>
          <w:tcPr>
            <w:tcW w:w="2266" w:type="dxa"/>
          </w:tcPr>
          <w:p w14:paraId="71DD1E44" w14:textId="77777777" w:rsidR="005332B4" w:rsidRPr="00F2335C" w:rsidRDefault="005332B4" w:rsidP="00B57102">
            <w:pP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F2335C">
              <w:rPr>
                <w:rFonts w:ascii="Cambria" w:hAnsi="Cambria"/>
                <w:sz w:val="24"/>
                <w:szCs w:val="24"/>
              </w:rPr>
              <w:lastRenderedPageBreak/>
              <w:t xml:space="preserve">LIFE Magazine, </w:t>
            </w:r>
          </w:p>
          <w:p w14:paraId="4ADF04EC" w14:textId="77777777" w:rsidR="005332B4" w:rsidRPr="00F2335C" w:rsidRDefault="005332B4" w:rsidP="00B57102">
            <w:pP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F2335C">
              <w:rPr>
                <w:rFonts w:ascii="Cambria" w:hAnsi="Cambria"/>
                <w:sz w:val="24"/>
                <w:szCs w:val="24"/>
              </w:rPr>
              <w:t>16 juillet 1956</w:t>
            </w:r>
          </w:p>
        </w:tc>
      </w:tr>
      <w:tr w:rsidR="005332B4" w:rsidRPr="00F2335C" w14:paraId="7EEB77A7" w14:textId="77777777" w:rsidTr="00DF2508">
        <w:tc>
          <w:tcPr>
            <w:cnfStyle w:val="001000000000" w:firstRow="0" w:lastRow="0" w:firstColumn="1" w:lastColumn="0" w:oddVBand="0" w:evenVBand="0" w:oddHBand="0" w:evenHBand="0" w:firstRowFirstColumn="0" w:firstRowLastColumn="0" w:lastRowFirstColumn="0" w:lastRowLastColumn="0"/>
            <w:tcW w:w="1271" w:type="dxa"/>
          </w:tcPr>
          <w:p w14:paraId="0FFE6B25" w14:textId="77777777" w:rsidR="005332B4" w:rsidRPr="00F2335C" w:rsidRDefault="005332B4" w:rsidP="00B57102">
            <w:pPr>
              <w:jc w:val="center"/>
              <w:rPr>
                <w:rFonts w:ascii="Cambria" w:hAnsi="Cambria"/>
                <w:sz w:val="24"/>
                <w:szCs w:val="24"/>
              </w:rPr>
            </w:pPr>
            <w:r w:rsidRPr="00F2335C">
              <w:rPr>
                <w:rFonts w:ascii="Cambria" w:hAnsi="Cambria"/>
                <w:sz w:val="24"/>
                <w:szCs w:val="24"/>
              </w:rPr>
              <w:t>1960s</w:t>
            </w:r>
          </w:p>
        </w:tc>
        <w:tc>
          <w:tcPr>
            <w:tcW w:w="2268" w:type="dxa"/>
          </w:tcPr>
          <w:p w14:paraId="2E61275C" w14:textId="77777777" w:rsidR="005332B4" w:rsidRPr="00F2335C" w:rsidRDefault="005332B4" w:rsidP="00B57102">
            <w:pP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F2335C">
              <w:rPr>
                <w:rFonts w:ascii="Cambria" w:hAnsi="Cambria"/>
                <w:sz w:val="24"/>
                <w:szCs w:val="24"/>
              </w:rPr>
              <w:t xml:space="preserve">Union </w:t>
            </w:r>
            <w:proofErr w:type="spellStart"/>
            <w:r w:rsidRPr="00F2335C">
              <w:rPr>
                <w:rFonts w:ascii="Cambria" w:hAnsi="Cambria"/>
                <w:sz w:val="24"/>
                <w:szCs w:val="24"/>
              </w:rPr>
              <w:t>Carbide</w:t>
            </w:r>
            <w:proofErr w:type="spellEnd"/>
            <w:r w:rsidRPr="00F2335C">
              <w:rPr>
                <w:rFonts w:ascii="Cambria" w:hAnsi="Cambria"/>
                <w:sz w:val="24"/>
                <w:szCs w:val="24"/>
              </w:rPr>
              <w:t xml:space="preserve"> : </w:t>
            </w:r>
          </w:p>
          <w:p w14:paraId="602FC1BF" w14:textId="77777777" w:rsidR="005332B4" w:rsidRPr="00F2335C" w:rsidRDefault="005332B4" w:rsidP="00B57102">
            <w:pP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F2335C">
              <w:rPr>
                <w:rFonts w:ascii="Cambria" w:hAnsi="Cambria"/>
                <w:sz w:val="24"/>
                <w:szCs w:val="24"/>
              </w:rPr>
              <w:t>Publicité pour le Sevin (à base de carbaryl, un insecticide)</w:t>
            </w:r>
          </w:p>
        </w:tc>
        <w:tc>
          <w:tcPr>
            <w:tcW w:w="3257" w:type="dxa"/>
          </w:tcPr>
          <w:p w14:paraId="2328A79C" w14:textId="77777777" w:rsidR="005332B4" w:rsidRPr="00F2335C" w:rsidRDefault="005332B4" w:rsidP="00B57102">
            <w:pP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F2335C">
              <w:rPr>
                <w:rFonts w:ascii="Cambria" w:hAnsi="Cambria"/>
                <w:sz w:val="24"/>
                <w:szCs w:val="24"/>
              </w:rPr>
              <w:t xml:space="preserve">Présenté dans la presse comme “about as </w:t>
            </w:r>
            <w:proofErr w:type="spellStart"/>
            <w:r w:rsidRPr="00F2335C">
              <w:rPr>
                <w:rFonts w:ascii="Cambria" w:hAnsi="Cambria"/>
                <w:sz w:val="24"/>
                <w:szCs w:val="24"/>
              </w:rPr>
              <w:t>safe</w:t>
            </w:r>
            <w:proofErr w:type="spellEnd"/>
            <w:r w:rsidRPr="00F2335C">
              <w:rPr>
                <w:rFonts w:ascii="Cambria" w:hAnsi="Cambria"/>
                <w:sz w:val="24"/>
                <w:szCs w:val="24"/>
              </w:rPr>
              <w:t xml:space="preserve"> as baby </w:t>
            </w:r>
            <w:proofErr w:type="spellStart"/>
            <w:r w:rsidRPr="00F2335C">
              <w:rPr>
                <w:rFonts w:ascii="Cambria" w:hAnsi="Cambria"/>
                <w:sz w:val="24"/>
                <w:szCs w:val="24"/>
              </w:rPr>
              <w:t>powder</w:t>
            </w:r>
            <w:proofErr w:type="spellEnd"/>
            <w:r w:rsidRPr="00F2335C">
              <w:rPr>
                <w:rFonts w:ascii="Cambria" w:hAnsi="Cambria"/>
                <w:sz w:val="24"/>
                <w:szCs w:val="24"/>
              </w:rPr>
              <w:t>”</w:t>
            </w:r>
          </w:p>
          <w:p w14:paraId="69B2E2BD" w14:textId="77777777" w:rsidR="005332B4" w:rsidRPr="00F2335C" w:rsidRDefault="005332B4" w:rsidP="00B57102">
            <w:pP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p>
          <w:p w14:paraId="0EB1490D" w14:textId="77777777" w:rsidR="005332B4" w:rsidRPr="00F2335C" w:rsidRDefault="005332B4" w:rsidP="00B57102">
            <w:pPr>
              <w:cnfStyle w:val="000000000000" w:firstRow="0" w:lastRow="0" w:firstColumn="0" w:lastColumn="0" w:oddVBand="0" w:evenVBand="0" w:oddHBand="0" w:evenHBand="0" w:firstRowFirstColumn="0" w:firstRowLastColumn="0" w:lastRowFirstColumn="0" w:lastRowLastColumn="0"/>
              <w:rPr>
                <w:rFonts w:ascii="Cambria" w:hAnsi="Cambria"/>
                <w:i/>
                <w:iCs/>
                <w:sz w:val="24"/>
                <w:szCs w:val="24"/>
              </w:rPr>
            </w:pPr>
            <w:r w:rsidRPr="00F2335C">
              <w:rPr>
                <w:rFonts w:ascii="Cambria" w:hAnsi="Cambria"/>
                <w:i/>
                <w:iCs/>
                <w:sz w:val="24"/>
                <w:szCs w:val="24"/>
              </w:rPr>
              <w:t>« À peu près aussi sûr que du talc pour bébé. »</w:t>
            </w:r>
          </w:p>
        </w:tc>
        <w:tc>
          <w:tcPr>
            <w:tcW w:w="2266" w:type="dxa"/>
          </w:tcPr>
          <w:p w14:paraId="424C29C6" w14:textId="77777777" w:rsidR="005332B4" w:rsidRPr="00F2335C" w:rsidRDefault="005332B4" w:rsidP="00B57102">
            <w:pP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proofErr w:type="spellStart"/>
            <w:r w:rsidRPr="00F2335C">
              <w:rPr>
                <w:rFonts w:ascii="Cambria" w:hAnsi="Cambria"/>
                <w:sz w:val="24"/>
                <w:szCs w:val="24"/>
              </w:rPr>
              <w:t>Organic</w:t>
            </w:r>
            <w:proofErr w:type="spellEnd"/>
            <w:r w:rsidRPr="00F2335C">
              <w:rPr>
                <w:rFonts w:ascii="Cambria" w:hAnsi="Cambria"/>
                <w:sz w:val="24"/>
                <w:szCs w:val="24"/>
              </w:rPr>
              <w:t xml:space="preserve"> </w:t>
            </w:r>
            <w:proofErr w:type="spellStart"/>
            <w:r w:rsidRPr="00F2335C">
              <w:rPr>
                <w:rFonts w:ascii="Cambria" w:hAnsi="Cambria"/>
                <w:sz w:val="24"/>
                <w:szCs w:val="24"/>
              </w:rPr>
              <w:t>Gardening</w:t>
            </w:r>
            <w:proofErr w:type="spellEnd"/>
            <w:r w:rsidRPr="00F2335C">
              <w:rPr>
                <w:rFonts w:ascii="Cambria" w:hAnsi="Cambria"/>
                <w:sz w:val="24"/>
                <w:szCs w:val="24"/>
              </w:rPr>
              <w:t xml:space="preserve">, 1984 (reprise par une enquête historique sur les pubs Union </w:t>
            </w:r>
            <w:proofErr w:type="spellStart"/>
            <w:r w:rsidRPr="00F2335C">
              <w:rPr>
                <w:rFonts w:ascii="Cambria" w:hAnsi="Cambria"/>
                <w:sz w:val="24"/>
                <w:szCs w:val="24"/>
              </w:rPr>
              <w:t>Carbide</w:t>
            </w:r>
            <w:proofErr w:type="spellEnd"/>
            <w:r w:rsidRPr="00F2335C">
              <w:rPr>
                <w:rFonts w:ascii="Cambria" w:hAnsi="Cambria"/>
                <w:sz w:val="24"/>
                <w:szCs w:val="24"/>
              </w:rPr>
              <w:t xml:space="preserve"> des années 60)</w:t>
            </w:r>
          </w:p>
        </w:tc>
      </w:tr>
      <w:tr w:rsidR="005332B4" w:rsidRPr="00F2335C" w14:paraId="58076F27" w14:textId="77777777" w:rsidTr="00DF2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2A5A42FF" w14:textId="77777777" w:rsidR="005332B4" w:rsidRPr="00F2335C" w:rsidRDefault="005332B4" w:rsidP="00B57102">
            <w:pPr>
              <w:jc w:val="center"/>
              <w:rPr>
                <w:rFonts w:ascii="Cambria" w:hAnsi="Cambria"/>
                <w:sz w:val="24"/>
                <w:szCs w:val="24"/>
              </w:rPr>
            </w:pPr>
            <w:r w:rsidRPr="00F2335C">
              <w:rPr>
                <w:rFonts w:ascii="Cambria" w:hAnsi="Cambria"/>
                <w:sz w:val="24"/>
                <w:szCs w:val="24"/>
              </w:rPr>
              <w:t>1967</w:t>
            </w:r>
          </w:p>
        </w:tc>
        <w:tc>
          <w:tcPr>
            <w:tcW w:w="2268" w:type="dxa"/>
          </w:tcPr>
          <w:p w14:paraId="63C8F7E4" w14:textId="77777777" w:rsidR="005332B4" w:rsidRPr="00F2335C" w:rsidRDefault="005332B4" w:rsidP="00B57102">
            <w:pP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F2335C">
              <w:rPr>
                <w:rFonts w:ascii="Cambria" w:hAnsi="Cambria"/>
                <w:sz w:val="24"/>
                <w:szCs w:val="24"/>
              </w:rPr>
              <w:t xml:space="preserve">American </w:t>
            </w:r>
            <w:proofErr w:type="spellStart"/>
            <w:r w:rsidRPr="00F2335C">
              <w:rPr>
                <w:rFonts w:ascii="Cambria" w:hAnsi="Cambria"/>
                <w:sz w:val="24"/>
                <w:szCs w:val="24"/>
              </w:rPr>
              <w:t>Cyanamid</w:t>
            </w:r>
            <w:proofErr w:type="spellEnd"/>
            <w:r w:rsidRPr="00F2335C">
              <w:rPr>
                <w:rFonts w:ascii="Cambria" w:hAnsi="Cambria"/>
                <w:sz w:val="24"/>
                <w:szCs w:val="24"/>
              </w:rPr>
              <w:t> : publicité pour le Malathion (un insecticide organo-phosphoré)</w:t>
            </w:r>
          </w:p>
        </w:tc>
        <w:tc>
          <w:tcPr>
            <w:tcW w:w="3257" w:type="dxa"/>
          </w:tcPr>
          <w:p w14:paraId="2FDADC11" w14:textId="77777777" w:rsidR="005332B4" w:rsidRPr="00F2335C" w:rsidRDefault="005332B4" w:rsidP="00B57102">
            <w:pPr>
              <w:cnfStyle w:val="000000100000" w:firstRow="0" w:lastRow="0" w:firstColumn="0" w:lastColumn="0" w:oddVBand="0" w:evenVBand="0" w:oddHBand="1" w:evenHBand="0" w:firstRowFirstColumn="0" w:firstRowLastColumn="0" w:lastRowFirstColumn="0" w:lastRowLastColumn="0"/>
              <w:rPr>
                <w:rFonts w:ascii="Cambria" w:hAnsi="Cambria"/>
                <w:sz w:val="24"/>
                <w:szCs w:val="24"/>
                <w:lang w:val="en-US"/>
              </w:rPr>
            </w:pPr>
            <w:r w:rsidRPr="00F2335C">
              <w:rPr>
                <w:rFonts w:ascii="Cambria" w:hAnsi="Cambria"/>
                <w:sz w:val="24"/>
                <w:szCs w:val="24"/>
                <w:lang w:val="en-US"/>
              </w:rPr>
              <w:t>“I certainly appreciate the low hazard in using Malathion.”</w:t>
            </w:r>
          </w:p>
          <w:p w14:paraId="7A3943C6" w14:textId="77777777" w:rsidR="005332B4" w:rsidRPr="00F2335C" w:rsidRDefault="005332B4" w:rsidP="00B57102">
            <w:pPr>
              <w:cnfStyle w:val="000000100000" w:firstRow="0" w:lastRow="0" w:firstColumn="0" w:lastColumn="0" w:oddVBand="0" w:evenVBand="0" w:oddHBand="1" w:evenHBand="0" w:firstRowFirstColumn="0" w:firstRowLastColumn="0" w:lastRowFirstColumn="0" w:lastRowLastColumn="0"/>
              <w:rPr>
                <w:rFonts w:ascii="Cambria" w:hAnsi="Cambria"/>
                <w:sz w:val="24"/>
                <w:szCs w:val="24"/>
                <w:lang w:val="en-US"/>
              </w:rPr>
            </w:pPr>
            <w:r w:rsidRPr="00F2335C">
              <w:rPr>
                <w:rFonts w:ascii="Cambria" w:hAnsi="Cambria"/>
                <w:sz w:val="24"/>
                <w:szCs w:val="24"/>
                <w:lang w:val="en-US"/>
              </w:rPr>
              <w:t xml:space="preserve"> </w:t>
            </w:r>
          </w:p>
          <w:p w14:paraId="01EA0DB3" w14:textId="77777777" w:rsidR="005332B4" w:rsidRPr="00F2335C" w:rsidRDefault="005332B4" w:rsidP="00B57102">
            <w:pPr>
              <w:cnfStyle w:val="000000100000" w:firstRow="0" w:lastRow="0" w:firstColumn="0" w:lastColumn="0" w:oddVBand="0" w:evenVBand="0" w:oddHBand="1" w:evenHBand="0" w:firstRowFirstColumn="0" w:firstRowLastColumn="0" w:lastRowFirstColumn="0" w:lastRowLastColumn="0"/>
              <w:rPr>
                <w:rFonts w:ascii="Cambria" w:hAnsi="Cambria"/>
                <w:i/>
                <w:iCs/>
                <w:sz w:val="24"/>
                <w:szCs w:val="24"/>
              </w:rPr>
            </w:pPr>
            <w:r w:rsidRPr="00F2335C">
              <w:rPr>
                <w:rFonts w:ascii="Cambria" w:hAnsi="Cambria"/>
                <w:i/>
                <w:iCs/>
                <w:sz w:val="24"/>
                <w:szCs w:val="24"/>
              </w:rPr>
              <w:t>« J’apprécie vraiment le faible danger lié à l’utilisation du malathion. »</w:t>
            </w:r>
          </w:p>
        </w:tc>
        <w:tc>
          <w:tcPr>
            <w:tcW w:w="2266" w:type="dxa"/>
          </w:tcPr>
          <w:p w14:paraId="0B1C4ECB" w14:textId="77777777" w:rsidR="005332B4" w:rsidRPr="00F2335C" w:rsidRDefault="005332B4" w:rsidP="00B57102">
            <w:pP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F2335C">
              <w:rPr>
                <w:rFonts w:ascii="Cambria" w:hAnsi="Cambria"/>
                <w:sz w:val="24"/>
                <w:szCs w:val="24"/>
              </w:rPr>
              <w:t xml:space="preserve">Campagne de presse de </w:t>
            </w:r>
            <w:proofErr w:type="spellStart"/>
            <w:r w:rsidRPr="00F2335C">
              <w:rPr>
                <w:rFonts w:ascii="Cambria" w:hAnsi="Cambria"/>
                <w:sz w:val="24"/>
                <w:szCs w:val="24"/>
              </w:rPr>
              <w:t>Cyanamid</w:t>
            </w:r>
            <w:proofErr w:type="spellEnd"/>
            <w:r w:rsidRPr="00F2335C">
              <w:rPr>
                <w:rFonts w:ascii="Cambria" w:hAnsi="Cambria"/>
                <w:sz w:val="24"/>
                <w:szCs w:val="24"/>
              </w:rPr>
              <w:t>, 1967</w:t>
            </w:r>
          </w:p>
        </w:tc>
      </w:tr>
    </w:tbl>
    <w:p w14:paraId="30401ED9" w14:textId="77777777" w:rsidR="005332B4" w:rsidRPr="00F2335C" w:rsidRDefault="005332B4" w:rsidP="005332B4">
      <w:pPr>
        <w:jc w:val="both"/>
        <w:rPr>
          <w:rFonts w:ascii="Cambria" w:hAnsi="Cambria"/>
          <w:sz w:val="24"/>
          <w:szCs w:val="24"/>
        </w:rPr>
      </w:pPr>
    </w:p>
    <w:p w14:paraId="5163C889" w14:textId="77777777" w:rsidR="005332B4" w:rsidRDefault="005332B4" w:rsidP="005332B4">
      <w:pPr>
        <w:jc w:val="both"/>
        <w:rPr>
          <w:rFonts w:ascii="Cambria" w:hAnsi="Cambria"/>
          <w:sz w:val="24"/>
          <w:szCs w:val="24"/>
        </w:rPr>
      </w:pPr>
      <w:r w:rsidRPr="00F2335C">
        <w:rPr>
          <w:rFonts w:ascii="Cambria" w:hAnsi="Cambria"/>
          <w:sz w:val="24"/>
          <w:szCs w:val="24"/>
        </w:rPr>
        <w:t xml:space="preserve">Encart publicitaire pour un produit contenant du DDT destiné à traiter le bétail et les étables contre les mouches (avec le slogan “For more </w:t>
      </w:r>
      <w:proofErr w:type="spellStart"/>
      <w:r w:rsidRPr="00F2335C">
        <w:rPr>
          <w:rFonts w:ascii="Cambria" w:hAnsi="Cambria"/>
          <w:sz w:val="24"/>
          <w:szCs w:val="24"/>
        </w:rPr>
        <w:t>milk</w:t>
      </w:r>
      <w:proofErr w:type="spellEnd"/>
      <w:r w:rsidRPr="00F2335C">
        <w:rPr>
          <w:rFonts w:ascii="Cambria" w:hAnsi="Cambria"/>
          <w:sz w:val="24"/>
          <w:szCs w:val="24"/>
        </w:rPr>
        <w:t xml:space="preserve">, stop Fly Torture !” – </w:t>
      </w:r>
      <w:r w:rsidRPr="00F2335C">
        <w:rPr>
          <w:rFonts w:ascii="Cambria" w:hAnsi="Cambria"/>
          <w:i/>
          <w:iCs/>
          <w:sz w:val="24"/>
          <w:szCs w:val="24"/>
        </w:rPr>
        <w:t>Pour plus de lait, arrêtez la torture due aux mouches</w:t>
      </w:r>
      <w:r w:rsidRPr="00F2335C">
        <w:rPr>
          <w:rFonts w:ascii="Cambria" w:hAnsi="Cambria"/>
          <w:sz w:val="24"/>
          <w:szCs w:val="24"/>
        </w:rPr>
        <w:t>).</w:t>
      </w:r>
    </w:p>
    <w:p w14:paraId="5C94C9DB" w14:textId="77777777" w:rsidR="00AD3911" w:rsidRPr="00F2335C" w:rsidRDefault="00AD3911" w:rsidP="005332B4">
      <w:pPr>
        <w:jc w:val="both"/>
        <w:rPr>
          <w:rFonts w:ascii="Cambria" w:hAnsi="Cambria"/>
          <w:sz w:val="24"/>
          <w:szCs w:val="24"/>
        </w:rPr>
      </w:pPr>
    </w:p>
    <w:p w14:paraId="7C1108DB" w14:textId="77777777" w:rsidR="005332B4" w:rsidRPr="00F2335C" w:rsidRDefault="005332B4" w:rsidP="005332B4">
      <w:pPr>
        <w:jc w:val="both"/>
        <w:rPr>
          <w:rFonts w:ascii="Cambria" w:hAnsi="Cambria"/>
          <w:sz w:val="24"/>
          <w:szCs w:val="24"/>
        </w:rPr>
      </w:pPr>
      <w:r w:rsidRPr="00F2335C">
        <w:rPr>
          <w:rFonts w:ascii="Cambria" w:hAnsi="Cambria"/>
          <w:noProof/>
          <w:sz w:val="24"/>
          <w:szCs w:val="24"/>
        </w:rPr>
        <w:drawing>
          <wp:inline distT="0" distB="0" distL="0" distR="0" wp14:anchorId="5903ABC8" wp14:editId="7CE1F2EA">
            <wp:extent cx="2265618" cy="2674189"/>
            <wp:effectExtent l="0" t="0" r="1905" b="0"/>
            <wp:docPr id="139855455" name="Image 3" descr="Vintage DDT Spray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ntage DDT Spray Sig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3497" cy="2683489"/>
                    </a:xfrm>
                    <a:prstGeom prst="rect">
                      <a:avLst/>
                    </a:prstGeom>
                    <a:noFill/>
                    <a:ln>
                      <a:noFill/>
                    </a:ln>
                  </pic:spPr>
                </pic:pic>
              </a:graphicData>
            </a:graphic>
          </wp:inline>
        </w:drawing>
      </w:r>
    </w:p>
    <w:p w14:paraId="3BF12174" w14:textId="77777777" w:rsidR="005332B4" w:rsidRPr="00F2335C" w:rsidRDefault="005332B4" w:rsidP="005332B4">
      <w:pPr>
        <w:jc w:val="both"/>
        <w:rPr>
          <w:rFonts w:ascii="Cambria" w:hAnsi="Cambria"/>
          <w:sz w:val="24"/>
          <w:szCs w:val="24"/>
        </w:rPr>
      </w:pPr>
    </w:p>
    <w:p w14:paraId="2C9D299F" w14:textId="77777777" w:rsidR="005332B4" w:rsidRDefault="005332B4" w:rsidP="005332B4">
      <w:pPr>
        <w:jc w:val="both"/>
        <w:rPr>
          <w:rFonts w:ascii="Cambria" w:hAnsi="Cambria"/>
          <w:sz w:val="24"/>
          <w:szCs w:val="24"/>
        </w:rPr>
      </w:pPr>
      <w:r w:rsidRPr="00F2335C">
        <w:rPr>
          <w:rFonts w:ascii="Cambria" w:hAnsi="Cambria"/>
          <w:sz w:val="24"/>
          <w:szCs w:val="24"/>
        </w:rPr>
        <w:t xml:space="preserve">Les premières alertes scientifiques commencent à modifier la perception sociale. La publication en 1962 de </w:t>
      </w:r>
      <w:r w:rsidRPr="00F2335C">
        <w:rPr>
          <w:rFonts w:ascii="Cambria" w:hAnsi="Cambria"/>
          <w:i/>
          <w:iCs/>
          <w:sz w:val="24"/>
          <w:szCs w:val="24"/>
        </w:rPr>
        <w:t>Silent Spring</w:t>
      </w:r>
      <w:r w:rsidRPr="00F2335C">
        <w:rPr>
          <w:rFonts w:ascii="Cambria" w:hAnsi="Cambria"/>
          <w:sz w:val="24"/>
          <w:szCs w:val="24"/>
        </w:rPr>
        <w:t xml:space="preserve"> de Rachel Carson marque un tournant : elle met en évidence les effets délétères des pesticides (en particulier du DDT) sur la faune, la flore et la santé humaine.</w:t>
      </w:r>
    </w:p>
    <w:p w14:paraId="2452815F" w14:textId="333B64B8" w:rsidR="005332B4" w:rsidRDefault="005332B4" w:rsidP="005332B4">
      <w:pPr>
        <w:jc w:val="both"/>
        <w:rPr>
          <w:rFonts w:ascii="Cambria" w:hAnsi="Cambria"/>
          <w:sz w:val="24"/>
          <w:szCs w:val="24"/>
        </w:rPr>
      </w:pPr>
      <w:r w:rsidRPr="00F2335C">
        <w:rPr>
          <w:rFonts w:ascii="Cambria" w:hAnsi="Cambria"/>
          <w:sz w:val="24"/>
          <w:szCs w:val="24"/>
        </w:rPr>
        <w:br/>
        <w:t xml:space="preserve">Dans les années 1970, par suite des publications scientifiques sur les effets indésirables de nombre de pesticides (notamment la </w:t>
      </w:r>
      <w:r>
        <w:rPr>
          <w:rFonts w:ascii="Cambria" w:hAnsi="Cambria"/>
          <w:sz w:val="24"/>
          <w:szCs w:val="24"/>
        </w:rPr>
        <w:t>bioaccumulation et bioconcentration</w:t>
      </w:r>
      <w:r w:rsidRPr="00F2335C">
        <w:rPr>
          <w:rFonts w:ascii="Cambria" w:hAnsi="Cambria"/>
          <w:sz w:val="24"/>
          <w:szCs w:val="24"/>
        </w:rPr>
        <w:t xml:space="preserve"> des organo-chlorés dans </w:t>
      </w:r>
      <w:r>
        <w:rPr>
          <w:rFonts w:ascii="Cambria" w:hAnsi="Cambria"/>
          <w:sz w:val="24"/>
          <w:szCs w:val="24"/>
        </w:rPr>
        <w:t>la chaîne alimentaire</w:t>
      </w:r>
      <w:r w:rsidRPr="00F2335C">
        <w:rPr>
          <w:rFonts w:ascii="Cambria" w:hAnsi="Cambria"/>
          <w:sz w:val="24"/>
          <w:szCs w:val="24"/>
        </w:rPr>
        <w:t xml:space="preserve">), plusieurs interdictions interviennent : le DDT est interdit aux États-Unis en 1972, et progressivement dans de nombreux pays (en 1974 pour la Belgique). Suivent de nombreux autres organo-chlorés (aldrine, dieldrine, heptachlore, lindane, …) et organo-phosphorés (parathion, mévinphos, monocrotophos, …). En Europe, la mise en œuvre de la directive 91/414/CEE (qui prend ses effets en juillet </w:t>
      </w:r>
      <w:r w:rsidRPr="00F2335C">
        <w:rPr>
          <w:rFonts w:ascii="Cambria" w:hAnsi="Cambria"/>
          <w:sz w:val="24"/>
          <w:szCs w:val="24"/>
        </w:rPr>
        <w:lastRenderedPageBreak/>
        <w:t>1993) permet en place une réévaluation harmonisée des quelques 1000 substances actives commercialisées. Seules 250 à 300 substances arrivent à satisfaire les critères toxicologiques et environnementaux</w:t>
      </w:r>
      <w:r w:rsidR="008A18B7">
        <w:rPr>
          <w:rFonts w:ascii="Cambria" w:hAnsi="Cambria"/>
          <w:sz w:val="24"/>
          <w:szCs w:val="24"/>
        </w:rPr>
        <w:t xml:space="preserve"> de la directive</w:t>
      </w:r>
      <w:r>
        <w:rPr>
          <w:rFonts w:ascii="Cambria" w:hAnsi="Cambria"/>
          <w:sz w:val="24"/>
          <w:szCs w:val="24"/>
        </w:rPr>
        <w:t> !</w:t>
      </w:r>
      <w:r w:rsidRPr="00F2335C">
        <w:rPr>
          <w:rFonts w:ascii="Cambria" w:hAnsi="Cambria"/>
          <w:sz w:val="24"/>
          <w:szCs w:val="24"/>
        </w:rPr>
        <w:t xml:space="preserve"> À ce stade, les pesticides restent </w:t>
      </w:r>
      <w:r>
        <w:rPr>
          <w:rFonts w:ascii="Cambria" w:hAnsi="Cambria"/>
          <w:sz w:val="24"/>
          <w:szCs w:val="24"/>
        </w:rPr>
        <w:t>« </w:t>
      </w:r>
      <w:r w:rsidRPr="00F2335C">
        <w:rPr>
          <w:rFonts w:ascii="Cambria" w:hAnsi="Cambria"/>
          <w:sz w:val="24"/>
          <w:szCs w:val="24"/>
        </w:rPr>
        <w:t>tolérés</w:t>
      </w:r>
      <w:r>
        <w:rPr>
          <w:rFonts w:ascii="Cambria" w:hAnsi="Cambria"/>
          <w:sz w:val="24"/>
          <w:szCs w:val="24"/>
        </w:rPr>
        <w:t> »</w:t>
      </w:r>
      <w:r w:rsidRPr="00F2335C">
        <w:rPr>
          <w:rFonts w:ascii="Cambria" w:hAnsi="Cambria"/>
          <w:sz w:val="24"/>
          <w:szCs w:val="24"/>
        </w:rPr>
        <w:t>, mais sous conditions</w:t>
      </w:r>
      <w:r>
        <w:rPr>
          <w:rFonts w:ascii="Cambria" w:hAnsi="Cambria"/>
          <w:sz w:val="24"/>
          <w:szCs w:val="24"/>
        </w:rPr>
        <w:t xml:space="preserve"> (comme la concentration des formulations, la durée des autorisations délivrées, les modes d’épandage, …)</w:t>
      </w:r>
      <w:r w:rsidRPr="00F2335C">
        <w:rPr>
          <w:rFonts w:ascii="Cambria" w:hAnsi="Cambria"/>
          <w:sz w:val="24"/>
          <w:szCs w:val="24"/>
        </w:rPr>
        <w:t xml:space="preserve">. </w:t>
      </w:r>
    </w:p>
    <w:p w14:paraId="0C39CD5E" w14:textId="77777777" w:rsidR="005332B4" w:rsidRDefault="005332B4" w:rsidP="005332B4">
      <w:pPr>
        <w:jc w:val="both"/>
        <w:rPr>
          <w:rFonts w:ascii="Cambria" w:hAnsi="Cambria"/>
          <w:sz w:val="24"/>
          <w:szCs w:val="24"/>
        </w:rPr>
      </w:pPr>
    </w:p>
    <w:p w14:paraId="208836F0" w14:textId="338A312A" w:rsidR="005332B4" w:rsidRPr="00F2335C" w:rsidRDefault="005332B4" w:rsidP="005332B4">
      <w:pPr>
        <w:jc w:val="both"/>
        <w:rPr>
          <w:rFonts w:ascii="Cambria" w:hAnsi="Cambria"/>
          <w:sz w:val="24"/>
          <w:szCs w:val="24"/>
        </w:rPr>
      </w:pPr>
      <w:r>
        <w:rPr>
          <w:rFonts w:ascii="Cambria" w:hAnsi="Cambria"/>
          <w:sz w:val="24"/>
          <w:szCs w:val="24"/>
        </w:rPr>
        <w:t>A cette époque, l</w:t>
      </w:r>
      <w:r w:rsidRPr="00F2335C">
        <w:rPr>
          <w:rFonts w:ascii="Cambria" w:hAnsi="Cambria"/>
          <w:sz w:val="24"/>
          <w:szCs w:val="24"/>
        </w:rPr>
        <w:t xml:space="preserve">eur acceptabilité </w:t>
      </w:r>
      <w:r>
        <w:rPr>
          <w:rFonts w:ascii="Cambria" w:hAnsi="Cambria"/>
          <w:sz w:val="24"/>
          <w:szCs w:val="24"/>
        </w:rPr>
        <w:t>tenait également à</w:t>
      </w:r>
      <w:r w:rsidRPr="00F2335C">
        <w:rPr>
          <w:rFonts w:ascii="Cambria" w:hAnsi="Cambria"/>
          <w:sz w:val="24"/>
          <w:szCs w:val="24"/>
        </w:rPr>
        <w:t xml:space="preserve"> la </w:t>
      </w:r>
      <w:r w:rsidRPr="004724C3">
        <w:rPr>
          <w:rFonts w:ascii="Cambria" w:hAnsi="Cambria"/>
          <w:b/>
          <w:bCs/>
          <w:sz w:val="24"/>
          <w:szCs w:val="24"/>
        </w:rPr>
        <w:t>promesse des sociétés phytopharmaceutiques</w:t>
      </w:r>
      <w:r w:rsidRPr="00F2335C">
        <w:rPr>
          <w:rFonts w:ascii="Cambria" w:hAnsi="Cambria"/>
          <w:sz w:val="24"/>
          <w:szCs w:val="24"/>
        </w:rPr>
        <w:t xml:space="preserve"> de </w:t>
      </w:r>
      <w:r>
        <w:rPr>
          <w:rFonts w:ascii="Cambria" w:hAnsi="Cambria"/>
          <w:sz w:val="24"/>
          <w:szCs w:val="24"/>
        </w:rPr>
        <w:t>réduire le risque grâce à</w:t>
      </w:r>
      <w:r w:rsidRPr="00F2335C">
        <w:rPr>
          <w:rFonts w:ascii="Cambria" w:hAnsi="Cambria"/>
          <w:sz w:val="24"/>
          <w:szCs w:val="24"/>
        </w:rPr>
        <w:t xml:space="preserve"> un meilleur encadrement</w:t>
      </w:r>
      <w:r>
        <w:rPr>
          <w:rFonts w:ascii="Cambria" w:hAnsi="Cambria"/>
          <w:sz w:val="24"/>
          <w:szCs w:val="24"/>
        </w:rPr>
        <w:t xml:space="preserve"> des agriculteurs (ex : programmes de « </w:t>
      </w:r>
      <w:proofErr w:type="spellStart"/>
      <w:r>
        <w:rPr>
          <w:rFonts w:ascii="Cambria" w:hAnsi="Cambria"/>
          <w:sz w:val="24"/>
          <w:szCs w:val="24"/>
        </w:rPr>
        <w:t>stewardship</w:t>
      </w:r>
      <w:proofErr w:type="spellEnd"/>
      <w:r>
        <w:rPr>
          <w:rFonts w:ascii="Cambria" w:hAnsi="Cambria"/>
          <w:sz w:val="24"/>
          <w:szCs w:val="24"/>
        </w:rPr>
        <w:t> »)</w:t>
      </w:r>
      <w:r w:rsidRPr="00F2335C">
        <w:rPr>
          <w:rFonts w:ascii="Cambria" w:hAnsi="Cambria"/>
          <w:sz w:val="24"/>
          <w:szCs w:val="24"/>
        </w:rPr>
        <w:t>, une meilleure gestion des risques</w:t>
      </w:r>
      <w:r>
        <w:rPr>
          <w:rFonts w:ascii="Cambria" w:hAnsi="Cambria"/>
          <w:sz w:val="24"/>
          <w:szCs w:val="24"/>
        </w:rPr>
        <w:t xml:space="preserve"> (ex : bandes tampons)</w:t>
      </w:r>
      <w:r w:rsidRPr="00F2335C">
        <w:rPr>
          <w:rFonts w:ascii="Cambria" w:hAnsi="Cambria"/>
          <w:sz w:val="24"/>
          <w:szCs w:val="24"/>
        </w:rPr>
        <w:t xml:space="preserve"> et un</w:t>
      </w:r>
      <w:r>
        <w:rPr>
          <w:rFonts w:ascii="Cambria" w:hAnsi="Cambria"/>
          <w:sz w:val="24"/>
          <w:szCs w:val="24"/>
        </w:rPr>
        <w:t>e perspective de</w:t>
      </w:r>
      <w:r w:rsidRPr="00F2335C">
        <w:rPr>
          <w:rFonts w:ascii="Cambria" w:hAnsi="Cambria"/>
          <w:sz w:val="24"/>
          <w:szCs w:val="24"/>
        </w:rPr>
        <w:t xml:space="preserve"> remplacement progressif des substances les plus problématiques</w:t>
      </w:r>
      <w:r>
        <w:rPr>
          <w:rFonts w:ascii="Cambria" w:hAnsi="Cambria"/>
          <w:sz w:val="24"/>
          <w:szCs w:val="24"/>
        </w:rPr>
        <w:t xml:space="preserve"> par des substances « à moindre risque »</w:t>
      </w:r>
      <w:r w:rsidRPr="00F2335C">
        <w:rPr>
          <w:rFonts w:ascii="Cambria" w:hAnsi="Cambria"/>
          <w:sz w:val="24"/>
          <w:szCs w:val="24"/>
        </w:rPr>
        <w:t>.</w:t>
      </w:r>
      <w:r>
        <w:rPr>
          <w:rFonts w:ascii="Cambria" w:hAnsi="Cambria"/>
          <w:sz w:val="24"/>
          <w:szCs w:val="24"/>
        </w:rPr>
        <w:t xml:space="preserve"> Dans les faits, </w:t>
      </w:r>
      <w:r w:rsidRPr="00F040F0">
        <w:rPr>
          <w:rFonts w:ascii="Cambria" w:hAnsi="Cambria"/>
          <w:b/>
          <w:bCs/>
          <w:sz w:val="24"/>
          <w:szCs w:val="24"/>
        </w:rPr>
        <w:t>ces promesses n’ont pas été tenues</w:t>
      </w:r>
      <w:r>
        <w:rPr>
          <w:rFonts w:ascii="Cambria" w:hAnsi="Cambria"/>
          <w:sz w:val="24"/>
          <w:szCs w:val="24"/>
        </w:rPr>
        <w:t>. Au contraire, tant qu’elles y ont trouvé un intérêt économique, les fabricants ont continué de défendre, envers et contre tous les constats scientifiques, des substances dont la nuisance était pourtant de mieux en mieux connue (le pire étant qu’elles continuent à fabriquer et à exporter ces substances, aujourd’hui interdites, vers des pays où la législation est moins stricte). A titre d’exemple de lobbying des firmes, citons les activités du CIEL (</w:t>
      </w:r>
      <w:r w:rsidRPr="00A813D0">
        <w:rPr>
          <w:rFonts w:ascii="Cambria" w:hAnsi="Cambria"/>
          <w:sz w:val="24"/>
          <w:szCs w:val="24"/>
        </w:rPr>
        <w:t>Centre International d’Études du Lindane (</w:t>
      </w:r>
      <w:r w:rsidRPr="00A813D0">
        <w:rPr>
          <w:rFonts w:ascii="Cambria" w:hAnsi="Cambria"/>
          <w:i/>
          <w:iCs/>
          <w:sz w:val="24"/>
          <w:szCs w:val="24"/>
        </w:rPr>
        <w:t xml:space="preserve">Centre International for </w:t>
      </w:r>
      <w:proofErr w:type="spellStart"/>
      <w:r w:rsidRPr="00A813D0">
        <w:rPr>
          <w:rFonts w:ascii="Cambria" w:hAnsi="Cambria"/>
          <w:i/>
          <w:iCs/>
          <w:sz w:val="24"/>
          <w:szCs w:val="24"/>
        </w:rPr>
        <w:t>Studies</w:t>
      </w:r>
      <w:proofErr w:type="spellEnd"/>
      <w:r w:rsidRPr="00A813D0">
        <w:rPr>
          <w:rFonts w:ascii="Cambria" w:hAnsi="Cambria"/>
          <w:i/>
          <w:iCs/>
          <w:sz w:val="24"/>
          <w:szCs w:val="24"/>
        </w:rPr>
        <w:t xml:space="preserve"> on Lindane</w:t>
      </w:r>
      <w:r w:rsidRPr="00A813D0">
        <w:rPr>
          <w:rFonts w:ascii="Cambria" w:hAnsi="Cambria"/>
          <w:sz w:val="24"/>
          <w:szCs w:val="24"/>
        </w:rPr>
        <w:t>),</w:t>
      </w:r>
      <w:r w:rsidRPr="00A813D0">
        <w:t xml:space="preserve"> </w:t>
      </w:r>
      <w:r w:rsidRPr="00A813D0">
        <w:rPr>
          <w:rFonts w:ascii="Cambria" w:hAnsi="Cambria"/>
          <w:sz w:val="24"/>
          <w:szCs w:val="24"/>
        </w:rPr>
        <w:t>un consortium</w:t>
      </w:r>
      <w:r>
        <w:rPr>
          <w:rFonts w:ascii="Cambria" w:hAnsi="Cambria"/>
          <w:sz w:val="24"/>
          <w:szCs w:val="24"/>
        </w:rPr>
        <w:t xml:space="preserve"> créé </w:t>
      </w:r>
      <w:r w:rsidRPr="00A813D0">
        <w:rPr>
          <w:rFonts w:ascii="Cambria" w:hAnsi="Cambria"/>
          <w:sz w:val="24"/>
          <w:szCs w:val="24"/>
        </w:rPr>
        <w:t xml:space="preserve">par </w:t>
      </w:r>
      <w:r>
        <w:rPr>
          <w:rFonts w:ascii="Cambria" w:hAnsi="Cambria"/>
          <w:sz w:val="24"/>
          <w:szCs w:val="24"/>
        </w:rPr>
        <w:t>l</w:t>
      </w:r>
      <w:r w:rsidRPr="00A813D0">
        <w:rPr>
          <w:rFonts w:ascii="Cambria" w:hAnsi="Cambria"/>
          <w:sz w:val="24"/>
          <w:szCs w:val="24"/>
        </w:rPr>
        <w:t xml:space="preserve">es entreprises productrices d’insecticides contenant du lindane. Il avait pour mission de produire et compiler des études scientifiques, des données toxicologiques, des essais expérimentaux, etc., afin de soutenir la </w:t>
      </w:r>
      <w:proofErr w:type="spellStart"/>
      <w:r>
        <w:rPr>
          <w:rFonts w:ascii="Cambria" w:hAnsi="Cambria"/>
          <w:sz w:val="24"/>
          <w:szCs w:val="24"/>
        </w:rPr>
        <w:t>réautorisation</w:t>
      </w:r>
      <w:proofErr w:type="spellEnd"/>
      <w:r w:rsidRPr="00A813D0">
        <w:rPr>
          <w:rFonts w:ascii="Cambria" w:hAnsi="Cambria"/>
          <w:sz w:val="24"/>
          <w:szCs w:val="24"/>
        </w:rPr>
        <w:t xml:space="preserve"> </w:t>
      </w:r>
      <w:r>
        <w:rPr>
          <w:rFonts w:ascii="Cambria" w:hAnsi="Cambria"/>
          <w:sz w:val="24"/>
          <w:szCs w:val="24"/>
        </w:rPr>
        <w:t>et</w:t>
      </w:r>
      <w:r w:rsidRPr="00A813D0">
        <w:rPr>
          <w:rFonts w:ascii="Cambria" w:hAnsi="Cambria"/>
          <w:sz w:val="24"/>
          <w:szCs w:val="24"/>
        </w:rPr>
        <w:t xml:space="preserve"> le maintien de l’usage du lindane, notamment aux États-Unis et en Europe</w:t>
      </w:r>
      <w:r>
        <w:rPr>
          <w:rFonts w:ascii="Cambria" w:hAnsi="Cambria"/>
          <w:sz w:val="24"/>
          <w:szCs w:val="24"/>
        </w:rPr>
        <w:t>. Ce comité a été actif de 1970 aux années 2000 (l</w:t>
      </w:r>
      <w:r w:rsidRPr="00A813D0">
        <w:rPr>
          <w:rFonts w:ascii="Cambria" w:hAnsi="Cambria"/>
          <w:sz w:val="24"/>
          <w:szCs w:val="24"/>
        </w:rPr>
        <w:t xml:space="preserve">e processus de </w:t>
      </w:r>
      <w:proofErr w:type="spellStart"/>
      <w:r>
        <w:rPr>
          <w:rFonts w:ascii="Cambria" w:hAnsi="Cambria"/>
          <w:sz w:val="24"/>
          <w:szCs w:val="24"/>
        </w:rPr>
        <w:t>réautorisation</w:t>
      </w:r>
      <w:proofErr w:type="spellEnd"/>
      <w:r w:rsidRPr="00A813D0">
        <w:rPr>
          <w:rFonts w:ascii="Cambria" w:hAnsi="Cambria"/>
          <w:sz w:val="24"/>
          <w:szCs w:val="24"/>
        </w:rPr>
        <w:t xml:space="preserve"> du lindane par l’EPA</w:t>
      </w:r>
      <w:r w:rsidR="00036331">
        <w:rPr>
          <w:rStyle w:val="Appelnotedebasdep"/>
          <w:rFonts w:ascii="Cambria" w:hAnsi="Cambria"/>
          <w:sz w:val="24"/>
          <w:szCs w:val="24"/>
        </w:rPr>
        <w:footnoteReference w:id="10"/>
      </w:r>
      <w:r w:rsidRPr="00A813D0">
        <w:rPr>
          <w:rFonts w:ascii="Cambria" w:hAnsi="Cambria"/>
          <w:sz w:val="24"/>
          <w:szCs w:val="24"/>
        </w:rPr>
        <w:t xml:space="preserve"> mentionne en 2002 l’implication du CIEL</w:t>
      </w:r>
      <w:r>
        <w:rPr>
          <w:rFonts w:ascii="Cambria" w:hAnsi="Cambria"/>
          <w:sz w:val="24"/>
          <w:szCs w:val="24"/>
        </w:rPr>
        <w:t>).</w:t>
      </w:r>
    </w:p>
    <w:p w14:paraId="24B059F9" w14:textId="77777777" w:rsidR="005332B4" w:rsidRPr="00F2335C" w:rsidRDefault="005332B4" w:rsidP="005332B4">
      <w:pPr>
        <w:jc w:val="both"/>
        <w:rPr>
          <w:rFonts w:ascii="Cambria" w:hAnsi="Cambria"/>
          <w:sz w:val="24"/>
          <w:szCs w:val="24"/>
        </w:rPr>
      </w:pPr>
    </w:p>
    <w:p w14:paraId="1C78758F" w14:textId="2C1C63E9" w:rsidR="005332B4" w:rsidRPr="00F2335C" w:rsidRDefault="005332B4" w:rsidP="005332B4">
      <w:pPr>
        <w:spacing w:before="40"/>
        <w:jc w:val="both"/>
        <w:rPr>
          <w:rFonts w:ascii="Cambria" w:hAnsi="Cambria"/>
          <w:sz w:val="24"/>
          <w:szCs w:val="24"/>
        </w:rPr>
      </w:pPr>
      <w:r w:rsidRPr="00F2335C">
        <w:rPr>
          <w:rFonts w:ascii="Cambria" w:hAnsi="Cambria"/>
          <w:sz w:val="24"/>
          <w:szCs w:val="24"/>
        </w:rPr>
        <w:t>Il faut attendre les années 2000 pour que la contestation citoyenne s’intensifie. Les scandales liés aux néonicotinoïdes et à leur impact sur les pollinisateurs, les débats autour du glyphosate (réautorisé en Europe par l’EFSA malgré les alertes du CIRC qui le classe comme « cancérogène probable » en 2015), ou encore les procès contre Monsanto/Bayer aux États-Unis, nourrissent la méfiance des citoyens. Néanmoins, malgré un consensus scientifique fort démontrant que leur emploi comporte des risques avérés pour la santé humaine et pour l’environnement,</w:t>
      </w:r>
      <w:r w:rsidR="00F040F0">
        <w:rPr>
          <w:rFonts w:ascii="Cambria" w:hAnsi="Cambria"/>
          <w:sz w:val="24"/>
          <w:szCs w:val="24"/>
        </w:rPr>
        <w:t xml:space="preserve"> force est de constater qu’en Belgique tous les plans de réduction (fédéraux et régionaux) des pesticides et biocides ont échoués : les ventes stagnent !</w:t>
      </w:r>
      <w:r w:rsidRPr="00F2335C">
        <w:rPr>
          <w:rFonts w:ascii="Cambria" w:hAnsi="Cambria"/>
          <w:sz w:val="24"/>
          <w:szCs w:val="24"/>
        </w:rPr>
        <w:t xml:space="preserve"> </w:t>
      </w:r>
      <w:r w:rsidR="00F040F0">
        <w:rPr>
          <w:rFonts w:ascii="Cambria" w:hAnsi="Cambria"/>
          <w:sz w:val="24"/>
          <w:szCs w:val="24"/>
        </w:rPr>
        <w:t>U</w:t>
      </w:r>
      <w:r w:rsidR="00BC656E" w:rsidRPr="00BC656E">
        <w:rPr>
          <w:rFonts w:ascii="Cambria" w:hAnsi="Cambria"/>
          <w:sz w:val="24"/>
          <w:szCs w:val="24"/>
        </w:rPr>
        <w:t>n quart des autorisations</w:t>
      </w:r>
      <w:r w:rsidR="00BC656E">
        <w:rPr>
          <w:rFonts w:ascii="Cambria" w:hAnsi="Cambria"/>
          <w:sz w:val="24"/>
          <w:szCs w:val="24"/>
        </w:rPr>
        <w:t xml:space="preserve"> </w:t>
      </w:r>
      <w:r w:rsidR="00F040F0">
        <w:rPr>
          <w:rFonts w:ascii="Cambria" w:hAnsi="Cambria"/>
          <w:sz w:val="24"/>
          <w:szCs w:val="24"/>
        </w:rPr>
        <w:t>nationales</w:t>
      </w:r>
      <w:r w:rsidR="00BC656E" w:rsidRPr="00BC656E">
        <w:rPr>
          <w:rFonts w:ascii="Cambria" w:hAnsi="Cambria"/>
          <w:sz w:val="24"/>
          <w:szCs w:val="24"/>
        </w:rPr>
        <w:t xml:space="preserve"> porte sur des produits classés cancérogènes</w:t>
      </w:r>
      <w:r w:rsidR="00BC656E">
        <w:rPr>
          <w:rFonts w:ascii="Cambria" w:hAnsi="Cambria"/>
          <w:sz w:val="24"/>
          <w:szCs w:val="24"/>
        </w:rPr>
        <w:t>, mutagènes</w:t>
      </w:r>
      <w:r w:rsidR="00BC656E" w:rsidRPr="00BC656E">
        <w:rPr>
          <w:rFonts w:ascii="Cambria" w:hAnsi="Cambria"/>
          <w:sz w:val="24"/>
          <w:szCs w:val="24"/>
        </w:rPr>
        <w:t xml:space="preserve"> ou toxiques pour la reproduction</w:t>
      </w:r>
      <w:r w:rsidR="00F040F0">
        <w:rPr>
          <w:rFonts w:ascii="Cambria" w:hAnsi="Cambria"/>
          <w:sz w:val="24"/>
          <w:szCs w:val="24"/>
        </w:rPr>
        <w:t xml:space="preserve"> (CMR)</w:t>
      </w:r>
      <w:r w:rsidR="00BC656E" w:rsidRPr="00BC656E">
        <w:rPr>
          <w:rFonts w:ascii="Cambria" w:hAnsi="Cambria"/>
          <w:sz w:val="24"/>
          <w:szCs w:val="24"/>
        </w:rPr>
        <w:t>, et la règle de substitution des substances les plus dangereuses</w:t>
      </w:r>
      <w:r w:rsidR="00F040F0">
        <w:rPr>
          <w:rFonts w:ascii="Cambria" w:hAnsi="Cambria"/>
          <w:sz w:val="24"/>
          <w:szCs w:val="24"/>
        </w:rPr>
        <w:t xml:space="preserve"> prévue dans la législation</w:t>
      </w:r>
      <w:r w:rsidR="00BC656E" w:rsidRPr="00BC656E">
        <w:rPr>
          <w:rFonts w:ascii="Cambria" w:hAnsi="Cambria"/>
          <w:sz w:val="24"/>
          <w:szCs w:val="24"/>
        </w:rPr>
        <w:t xml:space="preserve"> n’est pas respectée dans 90 % des cas. </w:t>
      </w:r>
      <w:r w:rsidR="00BC656E">
        <w:rPr>
          <w:rFonts w:ascii="Cambria" w:hAnsi="Cambria"/>
          <w:sz w:val="24"/>
          <w:szCs w:val="24"/>
        </w:rPr>
        <w:t>Ces</w:t>
      </w:r>
      <w:r w:rsidRPr="00F2335C">
        <w:rPr>
          <w:rFonts w:ascii="Cambria" w:hAnsi="Cambria"/>
          <w:sz w:val="24"/>
          <w:szCs w:val="24"/>
        </w:rPr>
        <w:t xml:space="preserve"> substances actives restent tolérées 25 ans plus tard car : </w:t>
      </w:r>
    </w:p>
    <w:p w14:paraId="5442A918" w14:textId="77777777" w:rsidR="005332B4" w:rsidRPr="00F2335C" w:rsidRDefault="005332B4" w:rsidP="005332B4">
      <w:pPr>
        <w:pStyle w:val="Paragraphedeliste"/>
        <w:numPr>
          <w:ilvl w:val="0"/>
          <w:numId w:val="13"/>
        </w:numPr>
        <w:spacing w:before="40"/>
        <w:ind w:left="357" w:hanging="357"/>
        <w:contextualSpacing w:val="0"/>
        <w:jc w:val="both"/>
        <w:rPr>
          <w:rFonts w:ascii="Cambria" w:hAnsi="Cambria"/>
          <w:sz w:val="24"/>
          <w:szCs w:val="24"/>
        </w:rPr>
      </w:pPr>
      <w:r w:rsidRPr="00F2335C">
        <w:rPr>
          <w:rFonts w:ascii="Cambria" w:hAnsi="Cambria"/>
          <w:sz w:val="24"/>
          <w:szCs w:val="24"/>
        </w:rPr>
        <w:t>Elles sont associées à des bénéfices considérés comme importants, tels que le maintien des rendements agricoles, la stabilité des prix, l’autosuffisance et la sécurité alimentaire, la lutte contre les organismes invasifs ou contre les vecteurs (</w:t>
      </w:r>
      <w:proofErr w:type="spellStart"/>
      <w:r w:rsidRPr="00F2335C">
        <w:rPr>
          <w:rFonts w:ascii="Cambria" w:hAnsi="Cambria"/>
          <w:sz w:val="24"/>
          <w:szCs w:val="24"/>
        </w:rPr>
        <w:t>Pretty</w:t>
      </w:r>
      <w:proofErr w:type="spellEnd"/>
      <w:r w:rsidRPr="00F2335C">
        <w:rPr>
          <w:rFonts w:ascii="Cambria" w:hAnsi="Cambria"/>
          <w:sz w:val="24"/>
          <w:szCs w:val="24"/>
        </w:rPr>
        <w:t xml:space="preserve">, 2018 ; Caron et al., 2014). </w:t>
      </w:r>
    </w:p>
    <w:p w14:paraId="1C5DD5C3" w14:textId="77777777" w:rsidR="005332B4" w:rsidRPr="00F2335C" w:rsidRDefault="005332B4" w:rsidP="005332B4">
      <w:pPr>
        <w:pStyle w:val="Paragraphedeliste"/>
        <w:numPr>
          <w:ilvl w:val="0"/>
          <w:numId w:val="13"/>
        </w:numPr>
        <w:spacing w:before="40"/>
        <w:ind w:left="357" w:hanging="357"/>
        <w:contextualSpacing w:val="0"/>
        <w:jc w:val="both"/>
        <w:rPr>
          <w:rFonts w:ascii="Cambria" w:hAnsi="Cambria"/>
          <w:sz w:val="24"/>
          <w:szCs w:val="24"/>
        </w:rPr>
      </w:pPr>
      <w:r w:rsidRPr="00F2335C">
        <w:rPr>
          <w:rFonts w:ascii="Cambria" w:hAnsi="Cambria"/>
          <w:sz w:val="24"/>
          <w:szCs w:val="24"/>
        </w:rPr>
        <w:t xml:space="preserve">Les autorités, sous la pression des syndicats agricoles, considèrent que les alternatives crédibles font défaut (ex : </w:t>
      </w:r>
      <w:proofErr w:type="spellStart"/>
      <w:r w:rsidRPr="00F2335C">
        <w:rPr>
          <w:rFonts w:ascii="Cambria" w:hAnsi="Cambria"/>
          <w:sz w:val="24"/>
          <w:szCs w:val="24"/>
        </w:rPr>
        <w:t>réautorisation</w:t>
      </w:r>
      <w:proofErr w:type="spellEnd"/>
      <w:r w:rsidRPr="00F2335C">
        <w:rPr>
          <w:rFonts w:ascii="Cambria" w:hAnsi="Cambria"/>
          <w:sz w:val="24"/>
          <w:szCs w:val="24"/>
        </w:rPr>
        <w:t xml:space="preserve"> du glyphosate ; dérogations accordées pour l’usage des néonicotinoïdes en betterave ; prolongation de l’autorisation de l’acétamipride ; etc.).</w:t>
      </w:r>
    </w:p>
    <w:p w14:paraId="56DE5DB9" w14:textId="77777777" w:rsidR="005332B4" w:rsidRPr="00F2335C" w:rsidRDefault="005332B4" w:rsidP="005332B4">
      <w:pPr>
        <w:jc w:val="both"/>
        <w:rPr>
          <w:rFonts w:ascii="Cambria" w:hAnsi="Cambria"/>
          <w:sz w:val="24"/>
          <w:szCs w:val="24"/>
        </w:rPr>
      </w:pPr>
    </w:p>
    <w:p w14:paraId="2BBE71C7" w14:textId="77777777" w:rsidR="005332B4" w:rsidRPr="00F2335C" w:rsidRDefault="005332B4" w:rsidP="005332B4">
      <w:pPr>
        <w:jc w:val="both"/>
        <w:rPr>
          <w:rFonts w:ascii="Cambria" w:hAnsi="Cambria"/>
          <w:sz w:val="24"/>
          <w:szCs w:val="24"/>
        </w:rPr>
      </w:pPr>
      <w:r w:rsidRPr="00F2335C">
        <w:rPr>
          <w:rFonts w:ascii="Cambria" w:hAnsi="Cambria"/>
          <w:sz w:val="24"/>
          <w:szCs w:val="24"/>
        </w:rPr>
        <w:lastRenderedPageBreak/>
        <w:t xml:space="preserve">Mais l’histoire continue, et même s’accélère : les associations et les citoyens se mobilisent, des pétitions massives émergent. </w:t>
      </w:r>
      <w:r>
        <w:rPr>
          <w:rFonts w:ascii="Cambria" w:hAnsi="Cambria"/>
          <w:sz w:val="24"/>
          <w:szCs w:val="24"/>
        </w:rPr>
        <w:t>L</w:t>
      </w:r>
      <w:r w:rsidRPr="002C4953">
        <w:rPr>
          <w:rFonts w:ascii="Cambria" w:hAnsi="Cambria"/>
          <w:sz w:val="24"/>
          <w:szCs w:val="24"/>
        </w:rPr>
        <w:t>’usage des pesticides est de moins en moins « accepté » et tend à basculer vers la catégorie de risque « inacceptable », du moins dans l’opinion publique, même si des dérogations politiques persistent sous la pression agricole.</w:t>
      </w:r>
      <w:r>
        <w:rPr>
          <w:rFonts w:ascii="Cambria" w:hAnsi="Cambria"/>
          <w:sz w:val="24"/>
          <w:szCs w:val="24"/>
        </w:rPr>
        <w:t xml:space="preserve"> </w:t>
      </w:r>
      <w:r w:rsidRPr="00F2335C">
        <w:rPr>
          <w:rFonts w:ascii="Cambria" w:hAnsi="Cambria"/>
          <w:sz w:val="24"/>
          <w:szCs w:val="24"/>
        </w:rPr>
        <w:t xml:space="preserve">En 2017, l’Initiative citoyenne européenne « Stop Glyphosate » recueille plus d’un million de signatures. En France, l’affaire des néonicotinoïdes pour la betterave (dérogations accordées en 2020 puis abrogées en 2023) illustre la pression croissante de la société civile sur les décideurs. </w:t>
      </w:r>
      <w:r>
        <w:rPr>
          <w:rFonts w:ascii="Cambria" w:hAnsi="Cambria"/>
          <w:sz w:val="24"/>
          <w:szCs w:val="24"/>
        </w:rPr>
        <w:t xml:space="preserve">Une pétition pour empêcher la </w:t>
      </w:r>
      <w:proofErr w:type="spellStart"/>
      <w:r>
        <w:rPr>
          <w:rFonts w:ascii="Cambria" w:hAnsi="Cambria"/>
          <w:sz w:val="24"/>
          <w:szCs w:val="24"/>
        </w:rPr>
        <w:t>réautorisation</w:t>
      </w:r>
      <w:proofErr w:type="spellEnd"/>
      <w:r>
        <w:rPr>
          <w:rFonts w:ascii="Cambria" w:hAnsi="Cambria"/>
          <w:sz w:val="24"/>
          <w:szCs w:val="24"/>
        </w:rPr>
        <w:t xml:space="preserve"> de l’acétamipride (loi </w:t>
      </w:r>
      <w:proofErr w:type="spellStart"/>
      <w:r>
        <w:rPr>
          <w:rFonts w:ascii="Cambria" w:hAnsi="Cambria"/>
          <w:sz w:val="24"/>
          <w:szCs w:val="24"/>
        </w:rPr>
        <w:t>Duplomb</w:t>
      </w:r>
      <w:proofErr w:type="spellEnd"/>
      <w:r>
        <w:rPr>
          <w:rFonts w:ascii="Cambria" w:hAnsi="Cambria"/>
          <w:sz w:val="24"/>
          <w:szCs w:val="24"/>
        </w:rPr>
        <w:t>) a réuni plus de 2 millions de signatures. Aujourd’hui d</w:t>
      </w:r>
      <w:r w:rsidRPr="00F2335C">
        <w:rPr>
          <w:rFonts w:ascii="Cambria" w:hAnsi="Cambria"/>
          <w:sz w:val="24"/>
          <w:szCs w:val="24"/>
        </w:rPr>
        <w:t>es acteurs inattendus comme les mutuelles de santé (ex. la Mutualité chrétienne en Belgique) se mobilisent pour dénoncer l’impact sanitaire et économique des pesticides</w:t>
      </w:r>
      <w:r>
        <w:rPr>
          <w:rFonts w:ascii="Cambria" w:hAnsi="Cambria"/>
          <w:sz w:val="24"/>
          <w:szCs w:val="24"/>
        </w:rPr>
        <w:t xml:space="preserve"> et appellent à une interdiction progressive des pesticides.</w:t>
      </w:r>
    </w:p>
    <w:p w14:paraId="441FA487" w14:textId="77777777" w:rsidR="005332B4" w:rsidRPr="00EA70EB" w:rsidRDefault="005332B4" w:rsidP="005332B4">
      <w:pPr>
        <w:jc w:val="both"/>
        <w:rPr>
          <w:rFonts w:ascii="Cambria" w:hAnsi="Cambria"/>
          <w:sz w:val="24"/>
          <w:szCs w:val="24"/>
        </w:rPr>
      </w:pPr>
    </w:p>
    <w:p w14:paraId="0CF7A297" w14:textId="77777777" w:rsidR="005332B4" w:rsidRPr="00EA70EB" w:rsidRDefault="005332B4" w:rsidP="005332B4">
      <w:pPr>
        <w:jc w:val="both"/>
        <w:rPr>
          <w:rFonts w:ascii="Cambria" w:hAnsi="Cambria"/>
          <w:sz w:val="24"/>
          <w:szCs w:val="24"/>
        </w:rPr>
      </w:pPr>
      <w:r w:rsidRPr="00EA70EB">
        <w:rPr>
          <w:rFonts w:ascii="Cambria" w:hAnsi="Cambria"/>
          <w:sz w:val="24"/>
          <w:szCs w:val="24"/>
        </w:rPr>
        <w:t xml:space="preserve">Cette dynamique se retrouve dans d’autres domaines technologiques. L’acceptabilité du nucléaire a suivi une trajectoire comparable : promu dans les années 1950 comme symbole de modernité et d’indépendance énergétique, il est largement remis en cause après les accidents de </w:t>
      </w:r>
      <w:proofErr w:type="spellStart"/>
      <w:r w:rsidRPr="00EA70EB">
        <w:rPr>
          <w:rFonts w:ascii="Cambria" w:hAnsi="Cambria"/>
          <w:sz w:val="24"/>
          <w:szCs w:val="24"/>
        </w:rPr>
        <w:t>Three</w:t>
      </w:r>
      <w:proofErr w:type="spellEnd"/>
      <w:r w:rsidRPr="00EA70EB">
        <w:rPr>
          <w:rFonts w:ascii="Cambria" w:hAnsi="Cambria"/>
          <w:sz w:val="24"/>
          <w:szCs w:val="24"/>
        </w:rPr>
        <w:t xml:space="preserve"> Mile Island (1979), Tchernobyl (1986) et Fukushima (2011). De même, les OGM, initialement présentés dans les années 1990 comme une solution aux défis agricoles, ont suscité un rejet massif en Europe, alimenté par des débats sur la transparence et la souveraineté alimentaire. Plus récemment, les substances chimiques dites « polluants éternels » (PFAS</w:t>
      </w:r>
      <w:r>
        <w:rPr>
          <w:rFonts w:ascii="Cambria" w:hAnsi="Cambria"/>
          <w:sz w:val="24"/>
          <w:szCs w:val="24"/>
        </w:rPr>
        <w:t xml:space="preserve"> et pesticides-PFAS</w:t>
      </w:r>
      <w:r w:rsidRPr="00EA70EB">
        <w:rPr>
          <w:rFonts w:ascii="Cambria" w:hAnsi="Cambria"/>
          <w:sz w:val="24"/>
          <w:szCs w:val="24"/>
        </w:rPr>
        <w:t>) sont passées du statut d’outils industriels indispensables à celui de risques inacceptables, à la suite des révélations sur leur persistance</w:t>
      </w:r>
      <w:r>
        <w:rPr>
          <w:rFonts w:ascii="Cambria" w:hAnsi="Cambria"/>
          <w:sz w:val="24"/>
          <w:szCs w:val="24"/>
        </w:rPr>
        <w:t>, leur bioaccumulation</w:t>
      </w:r>
      <w:r w:rsidRPr="00EA70EB">
        <w:rPr>
          <w:rFonts w:ascii="Cambria" w:hAnsi="Cambria"/>
          <w:sz w:val="24"/>
          <w:szCs w:val="24"/>
        </w:rPr>
        <w:t xml:space="preserve"> et leur toxicité. Ces exemples montrent que l’acceptabilité d’un risque n’est jamais figée : elle se transforme sous l’effet des crises, des connaissances nouvelles, des mobilisations citoyennes et des évolutions culturelles.</w:t>
      </w:r>
    </w:p>
    <w:p w14:paraId="21579351" w14:textId="565502EC" w:rsidR="00B12E7A" w:rsidRPr="00C93EFC" w:rsidRDefault="00B12E7A" w:rsidP="00777EE5">
      <w:pPr>
        <w:jc w:val="both"/>
        <w:rPr>
          <w:rFonts w:ascii="Cambria" w:hAnsi="Cambria"/>
          <w:sz w:val="24"/>
          <w:szCs w:val="24"/>
        </w:rPr>
      </w:pPr>
    </w:p>
    <w:p w14:paraId="2C7AD415" w14:textId="241B6C30" w:rsidR="00B12E7A" w:rsidRPr="00AD3911" w:rsidRDefault="00B12E7A" w:rsidP="00777EE5">
      <w:pPr>
        <w:jc w:val="both"/>
        <w:rPr>
          <w:rFonts w:ascii="Cambria" w:hAnsi="Cambria"/>
          <w:color w:val="80340D" w:themeColor="accent2" w:themeShade="80"/>
          <w:sz w:val="32"/>
          <w:szCs w:val="32"/>
        </w:rPr>
      </w:pPr>
      <w:r w:rsidRPr="00B12E7A">
        <w:rPr>
          <w:rFonts w:ascii="Cambria" w:hAnsi="Cambria"/>
          <w:b/>
          <w:bCs/>
          <w:color w:val="80340D" w:themeColor="accent2" w:themeShade="80"/>
          <w:sz w:val="32"/>
          <w:szCs w:val="32"/>
        </w:rPr>
        <w:t>Conclusion</w:t>
      </w:r>
    </w:p>
    <w:p w14:paraId="58ADDAB0" w14:textId="77777777" w:rsidR="00FD129F" w:rsidRPr="00EB5DEE" w:rsidRDefault="00FD129F" w:rsidP="00FD129F">
      <w:pPr>
        <w:jc w:val="both"/>
        <w:rPr>
          <w:rFonts w:ascii="Cambria" w:hAnsi="Cambria"/>
          <w:sz w:val="24"/>
          <w:szCs w:val="24"/>
        </w:rPr>
      </w:pPr>
    </w:p>
    <w:p w14:paraId="20AB74B2" w14:textId="77777777" w:rsidR="00FD129F" w:rsidRPr="00EB5DEE" w:rsidRDefault="00FD129F" w:rsidP="00FD129F">
      <w:pPr>
        <w:jc w:val="both"/>
        <w:rPr>
          <w:rFonts w:ascii="Cambria" w:hAnsi="Cambria"/>
          <w:sz w:val="24"/>
          <w:szCs w:val="24"/>
        </w:rPr>
      </w:pPr>
      <w:r w:rsidRPr="00EB5DEE">
        <w:rPr>
          <w:rFonts w:ascii="Cambria" w:hAnsi="Cambria"/>
          <w:sz w:val="24"/>
          <w:szCs w:val="24"/>
        </w:rPr>
        <w:t>Comme l’avait anticipé Hans Jonas (1979), les technologies modernes engagent la survie de l’humanité. Le défi contemporain n’est plus seulement de gérer les risques au coup par coup, mais de</w:t>
      </w:r>
      <w:r w:rsidRPr="00FD129F">
        <w:rPr>
          <w:rFonts w:ascii="Cambria" w:hAnsi="Cambria"/>
          <w:b/>
          <w:bCs/>
          <w:sz w:val="24"/>
          <w:szCs w:val="24"/>
        </w:rPr>
        <w:t xml:space="preserve"> repenser nos modes de production, nos modèles agricoles et nos choix énergétiques </w:t>
      </w:r>
      <w:r w:rsidRPr="00EB5DEE">
        <w:rPr>
          <w:rFonts w:ascii="Cambria" w:hAnsi="Cambria"/>
          <w:sz w:val="24"/>
          <w:szCs w:val="24"/>
        </w:rPr>
        <w:t xml:space="preserve">à l’aune d’une </w:t>
      </w:r>
      <w:r w:rsidRPr="00FD129F">
        <w:rPr>
          <w:rFonts w:ascii="Cambria" w:hAnsi="Cambria"/>
          <w:b/>
          <w:bCs/>
          <w:sz w:val="24"/>
          <w:szCs w:val="24"/>
        </w:rPr>
        <w:t>éthique de la responsabilité</w:t>
      </w:r>
      <w:r w:rsidRPr="00EB5DEE">
        <w:rPr>
          <w:rFonts w:ascii="Cambria" w:hAnsi="Cambria"/>
          <w:sz w:val="24"/>
          <w:szCs w:val="24"/>
        </w:rPr>
        <w:t>.</w:t>
      </w:r>
      <w:r>
        <w:rPr>
          <w:rFonts w:ascii="Cambria" w:hAnsi="Cambria"/>
          <w:sz w:val="24"/>
          <w:szCs w:val="24"/>
        </w:rPr>
        <w:t xml:space="preserve"> Celle-ci</w:t>
      </w:r>
      <w:r w:rsidRPr="00EB5DEE">
        <w:rPr>
          <w:rFonts w:ascii="Cambria" w:hAnsi="Cambria"/>
          <w:sz w:val="24"/>
          <w:szCs w:val="24"/>
        </w:rPr>
        <w:t xml:space="preserve"> implique</w:t>
      </w:r>
      <w:r>
        <w:rPr>
          <w:rFonts w:ascii="Cambria" w:hAnsi="Cambria"/>
          <w:sz w:val="24"/>
          <w:szCs w:val="24"/>
        </w:rPr>
        <w:t xml:space="preserve"> </w:t>
      </w:r>
      <w:r w:rsidRPr="00EB5DEE">
        <w:rPr>
          <w:rFonts w:ascii="Cambria" w:hAnsi="Cambria"/>
          <w:sz w:val="24"/>
          <w:szCs w:val="24"/>
        </w:rPr>
        <w:t>:</w:t>
      </w:r>
    </w:p>
    <w:p w14:paraId="6CA89393" w14:textId="77777777" w:rsidR="00FD129F" w:rsidRPr="00EB5DEE" w:rsidRDefault="00FD129F" w:rsidP="00FD129F">
      <w:pPr>
        <w:pStyle w:val="Paragraphedeliste"/>
        <w:numPr>
          <w:ilvl w:val="0"/>
          <w:numId w:val="17"/>
        </w:numPr>
        <w:jc w:val="both"/>
        <w:rPr>
          <w:rFonts w:ascii="Cambria" w:hAnsi="Cambria"/>
          <w:sz w:val="24"/>
          <w:szCs w:val="24"/>
        </w:rPr>
      </w:pPr>
      <w:r w:rsidRPr="00EB5DEE">
        <w:rPr>
          <w:rFonts w:ascii="Cambria" w:hAnsi="Cambria"/>
          <w:sz w:val="24"/>
          <w:szCs w:val="24"/>
        </w:rPr>
        <w:t>de ne pas transférer les risques d’une génération à l’autre ;</w:t>
      </w:r>
    </w:p>
    <w:p w14:paraId="1A32501D" w14:textId="77777777" w:rsidR="00FD129F" w:rsidRPr="00EB5DEE" w:rsidRDefault="00FD129F" w:rsidP="00FD129F">
      <w:pPr>
        <w:pStyle w:val="Paragraphedeliste"/>
        <w:numPr>
          <w:ilvl w:val="0"/>
          <w:numId w:val="17"/>
        </w:numPr>
        <w:jc w:val="both"/>
        <w:rPr>
          <w:rFonts w:ascii="Cambria" w:hAnsi="Cambria"/>
          <w:sz w:val="24"/>
          <w:szCs w:val="24"/>
        </w:rPr>
      </w:pPr>
      <w:r w:rsidRPr="00EB5DEE">
        <w:rPr>
          <w:rFonts w:ascii="Cambria" w:hAnsi="Cambria"/>
          <w:sz w:val="24"/>
          <w:szCs w:val="24"/>
        </w:rPr>
        <w:t>de réduire les inégalités face à l’exposition aux dangers ;</w:t>
      </w:r>
    </w:p>
    <w:p w14:paraId="1738169E" w14:textId="77777777" w:rsidR="00FD129F" w:rsidRPr="00EB5DEE" w:rsidRDefault="00FD129F" w:rsidP="00FD129F">
      <w:pPr>
        <w:pStyle w:val="Paragraphedeliste"/>
        <w:numPr>
          <w:ilvl w:val="0"/>
          <w:numId w:val="17"/>
        </w:numPr>
        <w:jc w:val="both"/>
        <w:rPr>
          <w:rFonts w:ascii="Cambria" w:hAnsi="Cambria"/>
          <w:sz w:val="24"/>
          <w:szCs w:val="24"/>
        </w:rPr>
      </w:pPr>
      <w:r w:rsidRPr="00EB5DEE">
        <w:rPr>
          <w:rFonts w:ascii="Cambria" w:hAnsi="Cambria"/>
          <w:sz w:val="24"/>
          <w:szCs w:val="24"/>
        </w:rPr>
        <w:t>de réhabiliter des pratiques agricoles durables et respectueuses des écosystèmes ;</w:t>
      </w:r>
    </w:p>
    <w:p w14:paraId="5DC87A12" w14:textId="77777777" w:rsidR="00FD129F" w:rsidRPr="00EB5DEE" w:rsidRDefault="00FD129F" w:rsidP="00FD129F">
      <w:pPr>
        <w:pStyle w:val="Paragraphedeliste"/>
        <w:numPr>
          <w:ilvl w:val="0"/>
          <w:numId w:val="17"/>
        </w:numPr>
        <w:jc w:val="both"/>
        <w:rPr>
          <w:rFonts w:ascii="Cambria" w:hAnsi="Cambria"/>
          <w:sz w:val="24"/>
          <w:szCs w:val="24"/>
        </w:rPr>
      </w:pPr>
      <w:r w:rsidRPr="00EB5DEE">
        <w:rPr>
          <w:rFonts w:ascii="Cambria" w:hAnsi="Cambria"/>
          <w:sz w:val="24"/>
          <w:szCs w:val="24"/>
        </w:rPr>
        <w:t>de</w:t>
      </w:r>
      <w:r>
        <w:rPr>
          <w:rFonts w:ascii="Cambria" w:hAnsi="Cambria"/>
          <w:sz w:val="24"/>
          <w:szCs w:val="24"/>
        </w:rPr>
        <w:t xml:space="preserve"> </w:t>
      </w:r>
      <w:r w:rsidRPr="00EB5DEE">
        <w:rPr>
          <w:rFonts w:ascii="Cambria" w:hAnsi="Cambria"/>
          <w:sz w:val="24"/>
          <w:szCs w:val="24"/>
        </w:rPr>
        <w:t>construire une gouvernance des risques transparente, participative et démocratique.</w:t>
      </w:r>
    </w:p>
    <w:p w14:paraId="305230F1" w14:textId="77777777" w:rsidR="003E2E16" w:rsidRDefault="003E2E16" w:rsidP="00777EE5">
      <w:pPr>
        <w:jc w:val="both"/>
        <w:rPr>
          <w:rFonts w:ascii="Cambria" w:hAnsi="Cambria"/>
          <w:sz w:val="24"/>
          <w:szCs w:val="24"/>
        </w:rPr>
      </w:pPr>
    </w:p>
    <w:p w14:paraId="36AA1AA3" w14:textId="22D9C94D" w:rsidR="00D05F9E" w:rsidRPr="00EB5DEE" w:rsidRDefault="00D05F9E" w:rsidP="00777EE5">
      <w:pPr>
        <w:jc w:val="both"/>
        <w:rPr>
          <w:rFonts w:ascii="Cambria" w:hAnsi="Cambria"/>
          <w:sz w:val="24"/>
          <w:szCs w:val="24"/>
        </w:rPr>
      </w:pPr>
      <w:r w:rsidRPr="00D05F9E">
        <w:rPr>
          <w:rFonts w:ascii="Cambria" w:hAnsi="Cambria"/>
          <w:sz w:val="24"/>
          <w:szCs w:val="24"/>
        </w:rPr>
        <w:t xml:space="preserve">Face aux incertitudes, le principe de précaution s’est imposé comme un garde-fou indispensable. Mais il ne résout pas toutes les tensions : d’un côté, les promoteurs de l’innovation dénoncent un frein au progrès ; de l’autre, les défenseurs de la santé et de l’environnement rappellent la nécessité d’agir avant qu’il ne soit trop tard. Les débats sur les OGM, le glyphosate, les néonicotinoïdes ou les PFAS montrent à quel point </w:t>
      </w:r>
      <w:r w:rsidRPr="00FD129F">
        <w:rPr>
          <w:rFonts w:ascii="Cambria" w:hAnsi="Cambria"/>
          <w:b/>
          <w:bCs/>
          <w:sz w:val="24"/>
          <w:szCs w:val="24"/>
        </w:rPr>
        <w:t>la gouvernance des risques est devenue un champ de bataille</w:t>
      </w:r>
      <w:r w:rsidRPr="00D05F9E">
        <w:rPr>
          <w:rFonts w:ascii="Cambria" w:hAnsi="Cambria"/>
          <w:sz w:val="24"/>
          <w:szCs w:val="24"/>
        </w:rPr>
        <w:t xml:space="preserve"> entre intérêts économiques, expertise scientifique, mobilisations citoyennes et décisions politiques.</w:t>
      </w:r>
      <w:r w:rsidR="00FD129F">
        <w:rPr>
          <w:rFonts w:ascii="Cambria" w:hAnsi="Cambria"/>
          <w:sz w:val="24"/>
          <w:szCs w:val="24"/>
        </w:rPr>
        <w:t xml:space="preserve"> </w:t>
      </w:r>
      <w:r w:rsidR="00FD129F" w:rsidRPr="00FD129F">
        <w:rPr>
          <w:rFonts w:ascii="Cambria" w:hAnsi="Cambria"/>
          <w:sz w:val="24"/>
          <w:szCs w:val="24"/>
        </w:rPr>
        <w:t xml:space="preserve">La « </w:t>
      </w:r>
      <w:proofErr w:type="spellStart"/>
      <w:r w:rsidR="00FD129F" w:rsidRPr="00FD129F">
        <w:rPr>
          <w:rFonts w:ascii="Cambria" w:hAnsi="Cambria"/>
          <w:sz w:val="24"/>
          <w:szCs w:val="24"/>
        </w:rPr>
        <w:t>risk</w:t>
      </w:r>
      <w:proofErr w:type="spellEnd"/>
      <w:r w:rsidR="00FD129F" w:rsidRPr="00FD129F">
        <w:rPr>
          <w:rFonts w:ascii="Cambria" w:hAnsi="Cambria"/>
          <w:sz w:val="24"/>
          <w:szCs w:val="24"/>
        </w:rPr>
        <w:t xml:space="preserve"> </w:t>
      </w:r>
      <w:proofErr w:type="spellStart"/>
      <w:r w:rsidR="00FD129F" w:rsidRPr="00FD129F">
        <w:rPr>
          <w:rFonts w:ascii="Cambria" w:hAnsi="Cambria"/>
          <w:sz w:val="24"/>
          <w:szCs w:val="24"/>
        </w:rPr>
        <w:t>governance</w:t>
      </w:r>
      <w:proofErr w:type="spellEnd"/>
      <w:r w:rsidR="00FD129F" w:rsidRPr="00FD129F">
        <w:rPr>
          <w:rFonts w:ascii="Cambria" w:hAnsi="Cambria"/>
          <w:sz w:val="24"/>
          <w:szCs w:val="24"/>
        </w:rPr>
        <w:t xml:space="preserve"> » (Renn, 2008) propose </w:t>
      </w:r>
      <w:r w:rsidR="00FD129F" w:rsidRPr="003D2C0B">
        <w:rPr>
          <w:rFonts w:ascii="Cambria" w:hAnsi="Cambria"/>
          <w:b/>
          <w:bCs/>
          <w:sz w:val="24"/>
          <w:szCs w:val="24"/>
        </w:rPr>
        <w:t>un cadre qui dépasse la simple évaluation scientifique</w:t>
      </w:r>
      <w:r w:rsidR="00FD129F" w:rsidRPr="00FD129F">
        <w:rPr>
          <w:rFonts w:ascii="Cambria" w:hAnsi="Cambria"/>
          <w:sz w:val="24"/>
          <w:szCs w:val="24"/>
        </w:rPr>
        <w:t xml:space="preserve"> en</w:t>
      </w:r>
      <w:r w:rsidR="003D2C0B">
        <w:rPr>
          <w:rFonts w:ascii="Cambria" w:hAnsi="Cambria"/>
          <w:sz w:val="24"/>
          <w:szCs w:val="24"/>
        </w:rPr>
        <w:t xml:space="preserve"> y</w:t>
      </w:r>
      <w:r w:rsidR="00FD129F" w:rsidRPr="00FD129F">
        <w:rPr>
          <w:rFonts w:ascii="Cambria" w:hAnsi="Cambria"/>
          <w:sz w:val="24"/>
          <w:szCs w:val="24"/>
        </w:rPr>
        <w:t xml:space="preserve"> intégrant la participation citoyenne et la délibération démocratique. C’est une voie possible</w:t>
      </w:r>
      <w:r w:rsidR="003D2C0B">
        <w:rPr>
          <w:rFonts w:ascii="Cambria" w:hAnsi="Cambria"/>
          <w:sz w:val="24"/>
          <w:szCs w:val="24"/>
        </w:rPr>
        <w:t xml:space="preserve"> et souhaitable</w:t>
      </w:r>
      <w:r w:rsidR="00FD129F" w:rsidRPr="00FD129F">
        <w:rPr>
          <w:rFonts w:ascii="Cambria" w:hAnsi="Cambria"/>
          <w:sz w:val="24"/>
          <w:szCs w:val="24"/>
        </w:rPr>
        <w:t xml:space="preserve"> pour </w:t>
      </w:r>
      <w:r w:rsidR="00FD129F" w:rsidRPr="003D2C0B">
        <w:rPr>
          <w:rFonts w:ascii="Cambria" w:hAnsi="Cambria"/>
          <w:b/>
          <w:bCs/>
          <w:sz w:val="24"/>
          <w:szCs w:val="24"/>
        </w:rPr>
        <w:t>réconcilier science, politique et société</w:t>
      </w:r>
      <w:r w:rsidR="00FD129F" w:rsidRPr="00FD129F">
        <w:rPr>
          <w:rFonts w:ascii="Cambria" w:hAnsi="Cambria"/>
          <w:sz w:val="24"/>
          <w:szCs w:val="24"/>
        </w:rPr>
        <w:t>.</w:t>
      </w:r>
    </w:p>
    <w:p w14:paraId="22989AC0" w14:textId="77777777" w:rsidR="00EB5DEE" w:rsidRPr="00EB5DEE" w:rsidRDefault="00EB5DEE" w:rsidP="00EB5DEE">
      <w:pPr>
        <w:jc w:val="both"/>
        <w:rPr>
          <w:rFonts w:ascii="Cambria" w:hAnsi="Cambria"/>
          <w:sz w:val="24"/>
          <w:szCs w:val="24"/>
        </w:rPr>
      </w:pPr>
    </w:p>
    <w:p w14:paraId="4CCBA959" w14:textId="4BB645CD" w:rsidR="003E2E16" w:rsidRDefault="00EB5DEE" w:rsidP="00EB5DEE">
      <w:pPr>
        <w:jc w:val="both"/>
        <w:rPr>
          <w:rFonts w:ascii="Cambria" w:hAnsi="Cambria"/>
          <w:sz w:val="24"/>
          <w:szCs w:val="24"/>
        </w:rPr>
      </w:pPr>
      <w:r w:rsidRPr="00EB5DEE">
        <w:rPr>
          <w:rFonts w:ascii="Cambria" w:hAnsi="Cambria"/>
          <w:sz w:val="24"/>
          <w:szCs w:val="24"/>
        </w:rPr>
        <w:lastRenderedPageBreak/>
        <w:t>Ainsi, l’étude d</w:t>
      </w:r>
      <w:r w:rsidR="00CA3E3D">
        <w:rPr>
          <w:rFonts w:ascii="Cambria" w:hAnsi="Cambria"/>
          <w:sz w:val="24"/>
          <w:szCs w:val="24"/>
        </w:rPr>
        <w:t>es</w:t>
      </w:r>
      <w:r w:rsidRPr="00EB5DEE">
        <w:rPr>
          <w:rFonts w:ascii="Cambria" w:hAnsi="Cambria"/>
          <w:sz w:val="24"/>
          <w:szCs w:val="24"/>
        </w:rPr>
        <w:t xml:space="preserve"> risque</w:t>
      </w:r>
      <w:r w:rsidR="00CA3E3D">
        <w:rPr>
          <w:rFonts w:ascii="Cambria" w:hAnsi="Cambria"/>
          <w:sz w:val="24"/>
          <w:szCs w:val="24"/>
        </w:rPr>
        <w:t>s</w:t>
      </w:r>
      <w:r w:rsidRPr="00EB5DEE">
        <w:rPr>
          <w:rFonts w:ascii="Cambria" w:hAnsi="Cambria"/>
          <w:sz w:val="24"/>
          <w:szCs w:val="24"/>
        </w:rPr>
        <w:t xml:space="preserve"> </w:t>
      </w:r>
      <w:r w:rsidR="00FD129F">
        <w:rPr>
          <w:rFonts w:ascii="Cambria" w:hAnsi="Cambria"/>
          <w:sz w:val="24"/>
          <w:szCs w:val="24"/>
        </w:rPr>
        <w:t>engendré</w:t>
      </w:r>
      <w:r w:rsidR="00CA3E3D">
        <w:rPr>
          <w:rFonts w:ascii="Cambria" w:hAnsi="Cambria"/>
          <w:sz w:val="24"/>
          <w:szCs w:val="24"/>
        </w:rPr>
        <w:t>s</w:t>
      </w:r>
      <w:r w:rsidR="00FD129F">
        <w:rPr>
          <w:rFonts w:ascii="Cambria" w:hAnsi="Cambria"/>
          <w:sz w:val="24"/>
          <w:szCs w:val="24"/>
        </w:rPr>
        <w:t xml:space="preserve"> par le modèle </w:t>
      </w:r>
      <w:r w:rsidRPr="00EB5DEE">
        <w:rPr>
          <w:rFonts w:ascii="Cambria" w:hAnsi="Cambria"/>
          <w:sz w:val="24"/>
          <w:szCs w:val="24"/>
        </w:rPr>
        <w:t>agricole</w:t>
      </w:r>
      <w:r w:rsidR="00FD129F">
        <w:rPr>
          <w:rFonts w:ascii="Cambria" w:hAnsi="Cambria"/>
          <w:sz w:val="24"/>
          <w:szCs w:val="24"/>
        </w:rPr>
        <w:t xml:space="preserve"> actuel</w:t>
      </w:r>
      <w:r w:rsidRPr="00EB5DEE">
        <w:rPr>
          <w:rFonts w:ascii="Cambria" w:hAnsi="Cambria"/>
          <w:sz w:val="24"/>
          <w:szCs w:val="24"/>
        </w:rPr>
        <w:t xml:space="preserve"> n’est pas seulement une analyse technique : elle devient une clé de lecture de nos sociétés, de leurs choix collectifs et de leurs contradictions. Elle invite à construire une nouvelle culture du risque, fondée sur la précaution, la justice et la responsabilité, condition indispensable pour préparer un avenir viable.</w:t>
      </w:r>
    </w:p>
    <w:p w14:paraId="5600CDA4" w14:textId="77777777" w:rsidR="0031593E" w:rsidRDefault="0031593E" w:rsidP="00EB5DEE">
      <w:pPr>
        <w:jc w:val="both"/>
        <w:rPr>
          <w:rFonts w:ascii="Cambria" w:hAnsi="Cambria"/>
          <w:sz w:val="24"/>
          <w:szCs w:val="24"/>
        </w:rPr>
      </w:pPr>
    </w:p>
    <w:p w14:paraId="024FBF64" w14:textId="2CF094FA" w:rsidR="0031593E" w:rsidRPr="0031593E" w:rsidRDefault="00442745" w:rsidP="0031593E">
      <w:pPr>
        <w:jc w:val="both"/>
        <w:rPr>
          <w:rFonts w:ascii="Cambria" w:hAnsi="Cambria"/>
          <w:sz w:val="24"/>
          <w:szCs w:val="24"/>
        </w:rPr>
      </w:pPr>
      <w:r>
        <w:rPr>
          <w:rFonts w:ascii="Cambria" w:hAnsi="Cambria"/>
          <w:sz w:val="24"/>
          <w:szCs w:val="24"/>
        </w:rPr>
        <w:t>Cependant</w:t>
      </w:r>
      <w:r w:rsidR="0031593E" w:rsidRPr="0031593E">
        <w:rPr>
          <w:rFonts w:ascii="Cambria" w:hAnsi="Cambria"/>
          <w:sz w:val="24"/>
          <w:szCs w:val="24"/>
        </w:rPr>
        <w:t>, les défis</w:t>
      </w:r>
      <w:r>
        <w:rPr>
          <w:rFonts w:ascii="Cambria" w:hAnsi="Cambria"/>
          <w:sz w:val="24"/>
          <w:szCs w:val="24"/>
        </w:rPr>
        <w:t xml:space="preserve"> d’aujourd’hui</w:t>
      </w:r>
      <w:r w:rsidR="0031593E" w:rsidRPr="0031593E">
        <w:rPr>
          <w:rFonts w:ascii="Cambria" w:hAnsi="Cambria"/>
          <w:sz w:val="24"/>
          <w:szCs w:val="24"/>
        </w:rPr>
        <w:t xml:space="preserve"> dépassent largement la question des seuls pesticides. Le </w:t>
      </w:r>
      <w:r>
        <w:rPr>
          <w:rFonts w:ascii="Cambria" w:hAnsi="Cambria"/>
          <w:sz w:val="24"/>
          <w:szCs w:val="24"/>
        </w:rPr>
        <w:t>dérèglement</w:t>
      </w:r>
      <w:r w:rsidR="0031593E" w:rsidRPr="0031593E">
        <w:rPr>
          <w:rFonts w:ascii="Cambria" w:hAnsi="Cambria"/>
          <w:sz w:val="24"/>
          <w:szCs w:val="24"/>
        </w:rPr>
        <w:t xml:space="preserve"> climatique, l’effondrement de la biodiversité, les polluants éternels (PFAS, microplastiques), les risques sanitaires mondiaux (</w:t>
      </w:r>
      <w:r>
        <w:rPr>
          <w:rFonts w:ascii="Cambria" w:hAnsi="Cambria"/>
          <w:sz w:val="24"/>
          <w:szCs w:val="24"/>
        </w:rPr>
        <w:t xml:space="preserve">explosion des maladies chroniques et des troubles du comportement, régression de la fertilité humaine, </w:t>
      </w:r>
      <w:r w:rsidR="0031593E" w:rsidRPr="0031593E">
        <w:rPr>
          <w:rFonts w:ascii="Cambria" w:hAnsi="Cambria"/>
          <w:sz w:val="24"/>
          <w:szCs w:val="24"/>
        </w:rPr>
        <w:t>pandémies) posent des questions inédites d’acceptabilité et de responsabilité.</w:t>
      </w:r>
      <w:r w:rsidR="0031593E">
        <w:rPr>
          <w:rFonts w:ascii="Cambria" w:hAnsi="Cambria"/>
          <w:sz w:val="24"/>
          <w:szCs w:val="24"/>
        </w:rPr>
        <w:t xml:space="preserve"> </w:t>
      </w:r>
      <w:r w:rsidR="0031593E" w:rsidRPr="0031593E">
        <w:rPr>
          <w:rFonts w:ascii="Cambria" w:hAnsi="Cambria"/>
          <w:sz w:val="24"/>
          <w:szCs w:val="24"/>
        </w:rPr>
        <w:t>Ces risques</w:t>
      </w:r>
      <w:r w:rsidR="00CA3E3D">
        <w:rPr>
          <w:rFonts w:ascii="Cambria" w:hAnsi="Cambria"/>
          <w:sz w:val="24"/>
          <w:szCs w:val="24"/>
        </w:rPr>
        <w:t>, tels ceux liés à l’agriculture conventionnelle,</w:t>
      </w:r>
      <w:r w:rsidR="0031593E" w:rsidRPr="0031593E">
        <w:rPr>
          <w:rFonts w:ascii="Cambria" w:hAnsi="Cambria"/>
          <w:sz w:val="24"/>
          <w:szCs w:val="24"/>
        </w:rPr>
        <w:t xml:space="preserve"> sont marqués par :</w:t>
      </w:r>
    </w:p>
    <w:p w14:paraId="3F927481" w14:textId="7217678B" w:rsidR="0031593E" w:rsidRPr="0031593E" w:rsidRDefault="004A3DD3" w:rsidP="0031593E">
      <w:pPr>
        <w:pStyle w:val="Paragraphedeliste"/>
        <w:numPr>
          <w:ilvl w:val="0"/>
          <w:numId w:val="17"/>
        </w:numPr>
        <w:jc w:val="both"/>
        <w:rPr>
          <w:rFonts w:ascii="Cambria" w:hAnsi="Cambria"/>
          <w:sz w:val="24"/>
          <w:szCs w:val="24"/>
        </w:rPr>
      </w:pPr>
      <w:r w:rsidRPr="0031593E">
        <w:rPr>
          <w:rFonts w:ascii="Cambria" w:hAnsi="Cambria"/>
          <w:sz w:val="24"/>
          <w:szCs w:val="24"/>
        </w:rPr>
        <w:t>Leur</w:t>
      </w:r>
      <w:r w:rsidR="0031593E" w:rsidRPr="0031593E">
        <w:rPr>
          <w:rFonts w:ascii="Cambria" w:hAnsi="Cambria"/>
          <w:sz w:val="24"/>
          <w:szCs w:val="24"/>
        </w:rPr>
        <w:t xml:space="preserve"> caractère global et irréversible ;</w:t>
      </w:r>
    </w:p>
    <w:p w14:paraId="5356092A" w14:textId="2BE23AFD" w:rsidR="0031593E" w:rsidRPr="0031593E" w:rsidRDefault="004A3DD3" w:rsidP="0031593E">
      <w:pPr>
        <w:pStyle w:val="Paragraphedeliste"/>
        <w:numPr>
          <w:ilvl w:val="0"/>
          <w:numId w:val="17"/>
        </w:numPr>
        <w:jc w:val="both"/>
        <w:rPr>
          <w:rFonts w:ascii="Cambria" w:hAnsi="Cambria"/>
          <w:sz w:val="24"/>
          <w:szCs w:val="24"/>
        </w:rPr>
      </w:pPr>
      <w:r w:rsidRPr="0031593E">
        <w:rPr>
          <w:rFonts w:ascii="Cambria" w:hAnsi="Cambria"/>
          <w:sz w:val="24"/>
          <w:szCs w:val="24"/>
        </w:rPr>
        <w:t>Leur</w:t>
      </w:r>
      <w:r w:rsidR="0031593E" w:rsidRPr="0031593E">
        <w:rPr>
          <w:rFonts w:ascii="Cambria" w:hAnsi="Cambria"/>
          <w:sz w:val="24"/>
          <w:szCs w:val="24"/>
        </w:rPr>
        <w:t xml:space="preserve"> dimension intergénérationnelle (les choix d’aujourd’hui conditionnent l’avenir des générations futures) ;</w:t>
      </w:r>
    </w:p>
    <w:p w14:paraId="73560B82" w14:textId="4351ABB1" w:rsidR="0031593E" w:rsidRDefault="004A3DD3" w:rsidP="0031593E">
      <w:pPr>
        <w:pStyle w:val="Paragraphedeliste"/>
        <w:numPr>
          <w:ilvl w:val="0"/>
          <w:numId w:val="17"/>
        </w:numPr>
        <w:jc w:val="both"/>
        <w:rPr>
          <w:rFonts w:ascii="Cambria" w:hAnsi="Cambria"/>
          <w:sz w:val="24"/>
          <w:szCs w:val="24"/>
        </w:rPr>
      </w:pPr>
      <w:r w:rsidRPr="0031593E">
        <w:rPr>
          <w:rFonts w:ascii="Cambria" w:hAnsi="Cambria"/>
          <w:sz w:val="24"/>
          <w:szCs w:val="24"/>
        </w:rPr>
        <w:t>Leur</w:t>
      </w:r>
      <w:r w:rsidR="0031593E" w:rsidRPr="0031593E">
        <w:rPr>
          <w:rFonts w:ascii="Cambria" w:hAnsi="Cambria"/>
          <w:sz w:val="24"/>
          <w:szCs w:val="24"/>
        </w:rPr>
        <w:t xml:space="preserve"> injustice sociale (les plus vulnérables sont souvent les plus exposés).</w:t>
      </w:r>
    </w:p>
    <w:p w14:paraId="47047961" w14:textId="77777777" w:rsidR="0031593E" w:rsidRPr="0031593E" w:rsidRDefault="0031593E" w:rsidP="0031593E">
      <w:pPr>
        <w:jc w:val="both"/>
        <w:rPr>
          <w:rFonts w:ascii="Cambria" w:hAnsi="Cambria"/>
          <w:sz w:val="24"/>
          <w:szCs w:val="24"/>
        </w:rPr>
      </w:pPr>
    </w:p>
    <w:p w14:paraId="081ED827" w14:textId="56A608F4" w:rsidR="00EB2D63" w:rsidRPr="00EB2D63" w:rsidRDefault="00EB2D63" w:rsidP="00EB2D63">
      <w:pPr>
        <w:jc w:val="both"/>
        <w:rPr>
          <w:rFonts w:ascii="Cambria" w:hAnsi="Cambria"/>
          <w:sz w:val="24"/>
          <w:szCs w:val="24"/>
        </w:rPr>
      </w:pPr>
      <w:r w:rsidRPr="00EB2D63">
        <w:rPr>
          <w:rFonts w:ascii="Cambria" w:hAnsi="Cambria"/>
          <w:sz w:val="24"/>
          <w:szCs w:val="24"/>
        </w:rPr>
        <w:t>En définitive, parler du risque agricole et environnemental, ce n’est pas seulement évoquer une donnée technique. C’est interroger les choix collectifs qui organisent notre rapport au monde, aux autres et aux générations futures.</w:t>
      </w:r>
      <w:r>
        <w:rPr>
          <w:rFonts w:ascii="Cambria" w:hAnsi="Cambria"/>
          <w:sz w:val="24"/>
          <w:szCs w:val="24"/>
        </w:rPr>
        <w:t xml:space="preserve"> </w:t>
      </w:r>
      <w:r w:rsidRPr="00EB2D63">
        <w:rPr>
          <w:rFonts w:ascii="Cambria" w:hAnsi="Cambria"/>
          <w:sz w:val="24"/>
          <w:szCs w:val="24"/>
        </w:rPr>
        <w:t>La culture moderne du risque s’est longtemps construite sur l’idée que la science et la technologie permettraient de maîtriser les dangers. Mais l’expérience accumulée – pesticides, nucléaire, OGM, PFAS, climat – montre les limites de cette croyance.</w:t>
      </w:r>
      <w:r>
        <w:rPr>
          <w:rFonts w:ascii="Cambria" w:hAnsi="Cambria"/>
          <w:sz w:val="24"/>
          <w:szCs w:val="24"/>
        </w:rPr>
        <w:t xml:space="preserve"> </w:t>
      </w:r>
      <w:r w:rsidRPr="00EB2D63">
        <w:rPr>
          <w:rFonts w:ascii="Cambria" w:hAnsi="Cambria"/>
          <w:sz w:val="24"/>
          <w:szCs w:val="24"/>
        </w:rPr>
        <w:t xml:space="preserve">L’enjeu aujourd’hui est de reconstruire une </w:t>
      </w:r>
      <w:r w:rsidRPr="00EB2D63">
        <w:rPr>
          <w:rFonts w:ascii="Cambria" w:hAnsi="Cambria"/>
          <w:b/>
          <w:bCs/>
          <w:sz w:val="24"/>
          <w:szCs w:val="24"/>
        </w:rPr>
        <w:t>culture du risque</w:t>
      </w:r>
      <w:r w:rsidRPr="00EB2D63">
        <w:rPr>
          <w:rFonts w:ascii="Cambria" w:hAnsi="Cambria"/>
          <w:sz w:val="24"/>
          <w:szCs w:val="24"/>
        </w:rPr>
        <w:t xml:space="preserve"> </w:t>
      </w:r>
      <w:r w:rsidRPr="00AB5446">
        <w:rPr>
          <w:rFonts w:ascii="Cambria" w:hAnsi="Cambria"/>
          <w:b/>
          <w:bCs/>
          <w:sz w:val="24"/>
          <w:szCs w:val="24"/>
        </w:rPr>
        <w:t>fondée sur trois principes</w:t>
      </w:r>
      <w:r w:rsidRPr="00EB2D63">
        <w:rPr>
          <w:rFonts w:ascii="Cambria" w:hAnsi="Cambria"/>
          <w:sz w:val="24"/>
          <w:szCs w:val="24"/>
        </w:rPr>
        <w:t xml:space="preserve"> :</w:t>
      </w:r>
    </w:p>
    <w:p w14:paraId="22570345" w14:textId="4C782D18" w:rsidR="00EB2D63" w:rsidRPr="00EB2D63" w:rsidRDefault="00447D1B" w:rsidP="00447D1B">
      <w:pPr>
        <w:pStyle w:val="Paragraphedeliste"/>
        <w:numPr>
          <w:ilvl w:val="0"/>
          <w:numId w:val="17"/>
        </w:numPr>
        <w:jc w:val="both"/>
        <w:rPr>
          <w:rFonts w:ascii="Cambria" w:hAnsi="Cambria"/>
          <w:sz w:val="24"/>
          <w:szCs w:val="24"/>
        </w:rPr>
      </w:pPr>
      <w:r w:rsidRPr="00EB2D63">
        <w:rPr>
          <w:rFonts w:ascii="Cambria" w:hAnsi="Cambria"/>
          <w:sz w:val="24"/>
          <w:szCs w:val="24"/>
        </w:rPr>
        <w:t>La</w:t>
      </w:r>
      <w:r w:rsidR="00EB2D63" w:rsidRPr="00EB2D63">
        <w:rPr>
          <w:rFonts w:ascii="Cambria" w:hAnsi="Cambria"/>
          <w:sz w:val="24"/>
          <w:szCs w:val="24"/>
        </w:rPr>
        <w:t xml:space="preserve"> précaution, face à des incertitudes irréductibles</w:t>
      </w:r>
      <w:r w:rsidR="00AB5446">
        <w:rPr>
          <w:rFonts w:ascii="Cambria" w:hAnsi="Cambria"/>
          <w:sz w:val="24"/>
          <w:szCs w:val="24"/>
        </w:rPr>
        <w:t>.</w:t>
      </w:r>
    </w:p>
    <w:p w14:paraId="7F254342" w14:textId="3A5C3EF0" w:rsidR="00EB2D63" w:rsidRPr="00EB2D63" w:rsidRDefault="00447D1B" w:rsidP="00447D1B">
      <w:pPr>
        <w:pStyle w:val="Paragraphedeliste"/>
        <w:numPr>
          <w:ilvl w:val="0"/>
          <w:numId w:val="17"/>
        </w:numPr>
        <w:jc w:val="both"/>
        <w:rPr>
          <w:rFonts w:ascii="Cambria" w:hAnsi="Cambria"/>
          <w:sz w:val="24"/>
          <w:szCs w:val="24"/>
        </w:rPr>
      </w:pPr>
      <w:r w:rsidRPr="00EB2D63">
        <w:rPr>
          <w:rFonts w:ascii="Cambria" w:hAnsi="Cambria"/>
          <w:sz w:val="24"/>
          <w:szCs w:val="24"/>
        </w:rPr>
        <w:t>La</w:t>
      </w:r>
      <w:r w:rsidR="00EB2D63" w:rsidRPr="00EB2D63">
        <w:rPr>
          <w:rFonts w:ascii="Cambria" w:hAnsi="Cambria"/>
          <w:sz w:val="24"/>
          <w:szCs w:val="24"/>
        </w:rPr>
        <w:t xml:space="preserve"> justice, pour que les coûts ne soient pas supportés par les plus vulnérables</w:t>
      </w:r>
      <w:r w:rsidR="00AB5446">
        <w:rPr>
          <w:rFonts w:ascii="Cambria" w:hAnsi="Cambria"/>
          <w:sz w:val="24"/>
          <w:szCs w:val="24"/>
        </w:rPr>
        <w:t>.</w:t>
      </w:r>
    </w:p>
    <w:p w14:paraId="539228F8" w14:textId="480F7D29" w:rsidR="00EB2D63" w:rsidRPr="00EB2D63" w:rsidRDefault="00447D1B" w:rsidP="00447D1B">
      <w:pPr>
        <w:pStyle w:val="Paragraphedeliste"/>
        <w:numPr>
          <w:ilvl w:val="0"/>
          <w:numId w:val="17"/>
        </w:numPr>
        <w:jc w:val="both"/>
        <w:rPr>
          <w:rFonts w:ascii="Cambria" w:hAnsi="Cambria"/>
          <w:sz w:val="24"/>
          <w:szCs w:val="24"/>
        </w:rPr>
      </w:pPr>
      <w:r w:rsidRPr="00EB2D63">
        <w:rPr>
          <w:rFonts w:ascii="Cambria" w:hAnsi="Cambria"/>
          <w:sz w:val="24"/>
          <w:szCs w:val="24"/>
        </w:rPr>
        <w:t>La</w:t>
      </w:r>
      <w:r w:rsidR="00EB2D63" w:rsidRPr="00EB2D63">
        <w:rPr>
          <w:rFonts w:ascii="Cambria" w:hAnsi="Cambria"/>
          <w:sz w:val="24"/>
          <w:szCs w:val="24"/>
        </w:rPr>
        <w:t xml:space="preserve"> responsabilité, pour préserver les conditions d’existence des générations futures.</w:t>
      </w:r>
    </w:p>
    <w:p w14:paraId="4028A410" w14:textId="77777777" w:rsidR="004A3DD3" w:rsidRDefault="004A3DD3" w:rsidP="00EB2D63">
      <w:pPr>
        <w:jc w:val="both"/>
        <w:rPr>
          <w:rFonts w:ascii="Cambria" w:hAnsi="Cambria"/>
          <w:sz w:val="24"/>
          <w:szCs w:val="24"/>
        </w:rPr>
      </w:pPr>
    </w:p>
    <w:p w14:paraId="293AA4D0" w14:textId="77457F11" w:rsidR="00EB2D63" w:rsidRPr="00EB2D63" w:rsidRDefault="00EB2D63" w:rsidP="00EB2D63">
      <w:pPr>
        <w:jc w:val="both"/>
        <w:rPr>
          <w:rFonts w:ascii="Cambria" w:hAnsi="Cambria"/>
          <w:sz w:val="24"/>
          <w:szCs w:val="24"/>
        </w:rPr>
      </w:pPr>
      <w:r w:rsidRPr="00EB2D63">
        <w:rPr>
          <w:rFonts w:ascii="Cambria" w:hAnsi="Cambria"/>
          <w:sz w:val="24"/>
          <w:szCs w:val="24"/>
        </w:rPr>
        <w:t>C’est à cette condition que nos sociétés pourront répondre aux défis d’une époque où, plus que jamais, la manière dont nous produisons, consommons et décidons détermine l’avenir de l’humanité et de la planète.</w:t>
      </w:r>
    </w:p>
    <w:p w14:paraId="02209AD0" w14:textId="77777777" w:rsidR="00B12E7A" w:rsidRPr="00EB5DEE" w:rsidRDefault="00B12E7A" w:rsidP="00777EE5">
      <w:pPr>
        <w:jc w:val="both"/>
        <w:rPr>
          <w:rFonts w:ascii="Cambria" w:hAnsi="Cambria"/>
          <w:sz w:val="24"/>
          <w:szCs w:val="24"/>
        </w:rPr>
      </w:pPr>
    </w:p>
    <w:p w14:paraId="654BB4D2" w14:textId="7B7FFAAE" w:rsidR="00490895" w:rsidRPr="004D204B" w:rsidRDefault="00490895" w:rsidP="00490895">
      <w:pPr>
        <w:rPr>
          <w:rFonts w:ascii="Cambria" w:hAnsi="Cambria"/>
          <w:b/>
          <w:bCs/>
          <w:color w:val="80340D" w:themeColor="accent2" w:themeShade="80"/>
          <w:sz w:val="28"/>
          <w:szCs w:val="28"/>
        </w:rPr>
      </w:pPr>
      <w:r w:rsidRPr="004D204B">
        <w:rPr>
          <w:rFonts w:ascii="Cambria" w:hAnsi="Cambria"/>
          <w:b/>
          <w:bCs/>
          <w:color w:val="80340D" w:themeColor="accent2" w:themeShade="80"/>
          <w:sz w:val="28"/>
          <w:szCs w:val="28"/>
        </w:rPr>
        <w:t xml:space="preserve">Références </w:t>
      </w:r>
    </w:p>
    <w:p w14:paraId="1CD64BCB" w14:textId="77777777" w:rsidR="00C93EFC" w:rsidRPr="00216147" w:rsidRDefault="00C93EFC" w:rsidP="00C93EFC">
      <w:pPr>
        <w:rPr>
          <w:rFonts w:ascii="Cambria" w:hAnsi="Cambria"/>
          <w:sz w:val="24"/>
          <w:szCs w:val="24"/>
          <w:lang w:val="en-US"/>
        </w:rPr>
      </w:pPr>
    </w:p>
    <w:p w14:paraId="64267EE4" w14:textId="77777777" w:rsidR="00C93EFC" w:rsidRPr="009210A8" w:rsidRDefault="00C93EFC" w:rsidP="003874E5">
      <w:pPr>
        <w:numPr>
          <w:ilvl w:val="0"/>
          <w:numId w:val="4"/>
        </w:numPr>
        <w:tabs>
          <w:tab w:val="clear" w:pos="720"/>
          <w:tab w:val="num" w:pos="360"/>
        </w:tabs>
        <w:ind w:left="360"/>
        <w:rPr>
          <w:rFonts w:ascii="Cambria" w:hAnsi="Cambria"/>
          <w:sz w:val="24"/>
          <w:szCs w:val="24"/>
          <w:lang w:val="en-US"/>
        </w:rPr>
      </w:pPr>
      <w:r w:rsidRPr="009210A8">
        <w:rPr>
          <w:rFonts w:ascii="Cambria" w:hAnsi="Cambria"/>
          <w:sz w:val="24"/>
          <w:szCs w:val="24"/>
          <w:lang w:val="en-US"/>
        </w:rPr>
        <w:t xml:space="preserve">Agyeman, J. (2014). </w:t>
      </w:r>
      <w:r w:rsidRPr="00455F5A">
        <w:rPr>
          <w:rFonts w:ascii="Cambria" w:hAnsi="Cambria"/>
          <w:i/>
          <w:iCs/>
          <w:sz w:val="24"/>
          <w:szCs w:val="24"/>
          <w:lang w:val="en-US"/>
        </w:rPr>
        <w:t xml:space="preserve">Just </w:t>
      </w:r>
      <w:proofErr w:type="spellStart"/>
      <w:proofErr w:type="gramStart"/>
      <w:r w:rsidRPr="00455F5A">
        <w:rPr>
          <w:rFonts w:ascii="Cambria" w:hAnsi="Cambria"/>
          <w:i/>
          <w:iCs/>
          <w:sz w:val="24"/>
          <w:szCs w:val="24"/>
          <w:lang w:val="en-US"/>
        </w:rPr>
        <w:t>sustainabilities</w:t>
      </w:r>
      <w:proofErr w:type="spellEnd"/>
      <w:r w:rsidRPr="00455F5A">
        <w:rPr>
          <w:rFonts w:ascii="Cambria" w:hAnsi="Cambria"/>
          <w:i/>
          <w:iCs/>
          <w:sz w:val="24"/>
          <w:szCs w:val="24"/>
          <w:lang w:val="en-US"/>
        </w:rPr>
        <w:t xml:space="preserve"> :</w:t>
      </w:r>
      <w:proofErr w:type="gramEnd"/>
      <w:r w:rsidRPr="00455F5A">
        <w:rPr>
          <w:rFonts w:ascii="Cambria" w:hAnsi="Cambria"/>
          <w:i/>
          <w:iCs/>
          <w:sz w:val="24"/>
          <w:szCs w:val="24"/>
          <w:lang w:val="en-US"/>
        </w:rPr>
        <w:t xml:space="preserve"> Policy, planning, and practice</w:t>
      </w:r>
      <w:r w:rsidRPr="009210A8">
        <w:rPr>
          <w:rFonts w:ascii="Cambria" w:hAnsi="Cambria"/>
          <w:sz w:val="24"/>
          <w:szCs w:val="24"/>
          <w:lang w:val="en-US"/>
        </w:rPr>
        <w:t>. Zed Books.</w:t>
      </w:r>
    </w:p>
    <w:p w14:paraId="04F7F4F6" w14:textId="77777777" w:rsidR="00C93EFC" w:rsidRPr="00675924" w:rsidRDefault="00C93EFC" w:rsidP="004D204B">
      <w:pPr>
        <w:numPr>
          <w:ilvl w:val="0"/>
          <w:numId w:val="4"/>
        </w:numPr>
        <w:tabs>
          <w:tab w:val="clear" w:pos="720"/>
          <w:tab w:val="num" w:pos="360"/>
        </w:tabs>
        <w:ind w:left="360"/>
        <w:rPr>
          <w:rFonts w:ascii="Cambria" w:hAnsi="Cambria"/>
          <w:sz w:val="24"/>
          <w:szCs w:val="24"/>
        </w:rPr>
      </w:pPr>
      <w:r w:rsidRPr="00675924">
        <w:rPr>
          <w:rFonts w:ascii="Cambria" w:hAnsi="Cambria"/>
          <w:sz w:val="24"/>
          <w:szCs w:val="24"/>
          <w:lang w:val="en-US"/>
        </w:rPr>
        <w:t xml:space="preserve">Beck, U. (1986). </w:t>
      </w:r>
      <w:proofErr w:type="spellStart"/>
      <w:r w:rsidRPr="00675924">
        <w:rPr>
          <w:rFonts w:ascii="Cambria" w:hAnsi="Cambria"/>
          <w:i/>
          <w:iCs/>
          <w:sz w:val="24"/>
          <w:szCs w:val="24"/>
          <w:lang w:val="en-US"/>
        </w:rPr>
        <w:t>Risikogesellschaft</w:t>
      </w:r>
      <w:proofErr w:type="spellEnd"/>
      <w:r w:rsidRPr="00675924">
        <w:rPr>
          <w:rFonts w:ascii="Cambria" w:hAnsi="Cambria"/>
          <w:i/>
          <w:iCs/>
          <w:sz w:val="24"/>
          <w:szCs w:val="24"/>
          <w:lang w:val="en-US"/>
        </w:rPr>
        <w:t xml:space="preserve">. Auf dem Weg in </w:t>
      </w:r>
      <w:proofErr w:type="spellStart"/>
      <w:r w:rsidRPr="00675924">
        <w:rPr>
          <w:rFonts w:ascii="Cambria" w:hAnsi="Cambria"/>
          <w:i/>
          <w:iCs/>
          <w:sz w:val="24"/>
          <w:szCs w:val="24"/>
          <w:lang w:val="en-US"/>
        </w:rPr>
        <w:t>eine</w:t>
      </w:r>
      <w:proofErr w:type="spellEnd"/>
      <w:r w:rsidRPr="00675924">
        <w:rPr>
          <w:rFonts w:ascii="Cambria" w:hAnsi="Cambria"/>
          <w:i/>
          <w:iCs/>
          <w:sz w:val="24"/>
          <w:szCs w:val="24"/>
          <w:lang w:val="en-US"/>
        </w:rPr>
        <w:t xml:space="preserve"> </w:t>
      </w:r>
      <w:proofErr w:type="spellStart"/>
      <w:r w:rsidRPr="00675924">
        <w:rPr>
          <w:rFonts w:ascii="Cambria" w:hAnsi="Cambria"/>
          <w:i/>
          <w:iCs/>
          <w:sz w:val="24"/>
          <w:szCs w:val="24"/>
          <w:lang w:val="en-US"/>
        </w:rPr>
        <w:t>andere</w:t>
      </w:r>
      <w:proofErr w:type="spellEnd"/>
      <w:r w:rsidRPr="00675924">
        <w:rPr>
          <w:rFonts w:ascii="Cambria" w:hAnsi="Cambria"/>
          <w:i/>
          <w:iCs/>
          <w:sz w:val="24"/>
          <w:szCs w:val="24"/>
          <w:lang w:val="en-US"/>
        </w:rPr>
        <w:t xml:space="preserve"> Moderne</w:t>
      </w:r>
      <w:r w:rsidRPr="00675924">
        <w:rPr>
          <w:rFonts w:ascii="Cambria" w:hAnsi="Cambria"/>
          <w:sz w:val="24"/>
          <w:szCs w:val="24"/>
          <w:lang w:val="en-US"/>
        </w:rPr>
        <w:t xml:space="preserve">. </w:t>
      </w:r>
      <w:proofErr w:type="spellStart"/>
      <w:r w:rsidRPr="00675924">
        <w:rPr>
          <w:rFonts w:ascii="Cambria" w:hAnsi="Cambria"/>
          <w:sz w:val="24"/>
          <w:szCs w:val="24"/>
        </w:rPr>
        <w:t>Suhrkamp</w:t>
      </w:r>
      <w:proofErr w:type="spellEnd"/>
      <w:r w:rsidRPr="00675924">
        <w:rPr>
          <w:rFonts w:ascii="Cambria" w:hAnsi="Cambria"/>
          <w:sz w:val="24"/>
          <w:szCs w:val="24"/>
        </w:rPr>
        <w:t xml:space="preserve">. [Trad. </w:t>
      </w:r>
      <w:proofErr w:type="spellStart"/>
      <w:r w:rsidRPr="00675924">
        <w:rPr>
          <w:rFonts w:ascii="Cambria" w:hAnsi="Cambria"/>
          <w:sz w:val="24"/>
          <w:szCs w:val="24"/>
        </w:rPr>
        <w:t>fr.</w:t>
      </w:r>
      <w:proofErr w:type="spellEnd"/>
      <w:r w:rsidRPr="00675924">
        <w:rPr>
          <w:rFonts w:ascii="Cambria" w:hAnsi="Cambria"/>
          <w:sz w:val="24"/>
          <w:szCs w:val="24"/>
        </w:rPr>
        <w:t xml:space="preserve"> : </w:t>
      </w:r>
      <w:r w:rsidRPr="00675924">
        <w:rPr>
          <w:rFonts w:ascii="Cambria" w:hAnsi="Cambria"/>
          <w:i/>
          <w:iCs/>
          <w:sz w:val="24"/>
          <w:szCs w:val="24"/>
        </w:rPr>
        <w:t>La société du risque</w:t>
      </w:r>
      <w:r w:rsidRPr="00675924">
        <w:rPr>
          <w:rFonts w:ascii="Cambria" w:hAnsi="Cambria"/>
          <w:sz w:val="24"/>
          <w:szCs w:val="24"/>
        </w:rPr>
        <w:t>. Aubier, 2001].</w:t>
      </w:r>
    </w:p>
    <w:p w14:paraId="377D331F" w14:textId="77777777" w:rsidR="00C93EFC" w:rsidRPr="00675924" w:rsidRDefault="00C93EFC" w:rsidP="004D204B">
      <w:pPr>
        <w:numPr>
          <w:ilvl w:val="0"/>
          <w:numId w:val="4"/>
        </w:numPr>
        <w:tabs>
          <w:tab w:val="clear" w:pos="720"/>
          <w:tab w:val="num" w:pos="360"/>
        </w:tabs>
        <w:ind w:left="360"/>
        <w:rPr>
          <w:rFonts w:ascii="Cambria" w:hAnsi="Cambria"/>
          <w:sz w:val="24"/>
          <w:szCs w:val="24"/>
        </w:rPr>
      </w:pPr>
      <w:r w:rsidRPr="00675924">
        <w:rPr>
          <w:rFonts w:ascii="Cambria" w:hAnsi="Cambria"/>
          <w:sz w:val="24"/>
          <w:szCs w:val="24"/>
        </w:rPr>
        <w:t xml:space="preserve">Bonneuil, C., &amp; Thomas, F. (2009). </w:t>
      </w:r>
      <w:r w:rsidRPr="00675924">
        <w:rPr>
          <w:rFonts w:ascii="Cambria" w:hAnsi="Cambria"/>
          <w:i/>
          <w:iCs/>
          <w:sz w:val="24"/>
          <w:szCs w:val="24"/>
        </w:rPr>
        <w:t>Gènes, pouvoirs et profits : Recherche publique et régimes de production des savoirs de Mendel aux OGM</w:t>
      </w:r>
      <w:r w:rsidRPr="00675924">
        <w:rPr>
          <w:rFonts w:ascii="Cambria" w:hAnsi="Cambria"/>
          <w:sz w:val="24"/>
          <w:szCs w:val="24"/>
        </w:rPr>
        <w:t xml:space="preserve">. </w:t>
      </w:r>
      <w:proofErr w:type="spellStart"/>
      <w:r w:rsidRPr="00675924">
        <w:rPr>
          <w:rFonts w:ascii="Cambria" w:hAnsi="Cambria"/>
          <w:sz w:val="24"/>
          <w:szCs w:val="24"/>
        </w:rPr>
        <w:t>Quae</w:t>
      </w:r>
      <w:proofErr w:type="spellEnd"/>
      <w:r w:rsidRPr="00675924">
        <w:rPr>
          <w:rFonts w:ascii="Cambria" w:hAnsi="Cambria"/>
          <w:sz w:val="24"/>
          <w:szCs w:val="24"/>
        </w:rPr>
        <w:t>.</w:t>
      </w:r>
    </w:p>
    <w:p w14:paraId="591EF71D" w14:textId="77777777" w:rsidR="00C93EFC" w:rsidRPr="00216147" w:rsidRDefault="00C93EFC" w:rsidP="00C93EFC">
      <w:pPr>
        <w:pStyle w:val="Paragraphedeliste"/>
        <w:numPr>
          <w:ilvl w:val="0"/>
          <w:numId w:val="4"/>
        </w:numPr>
        <w:tabs>
          <w:tab w:val="clear" w:pos="720"/>
          <w:tab w:val="num" w:pos="360"/>
        </w:tabs>
        <w:ind w:left="360"/>
        <w:rPr>
          <w:rFonts w:ascii="Cambria" w:hAnsi="Cambria"/>
          <w:sz w:val="24"/>
          <w:szCs w:val="24"/>
          <w:lang w:val="en-US"/>
        </w:rPr>
      </w:pPr>
      <w:r w:rsidRPr="00216147">
        <w:rPr>
          <w:rFonts w:ascii="Cambria" w:hAnsi="Cambria"/>
          <w:sz w:val="24"/>
          <w:szCs w:val="24"/>
          <w:lang w:val="en-US"/>
        </w:rPr>
        <w:t xml:space="preserve">Bullard, R. D. (2000). </w:t>
      </w:r>
      <w:r w:rsidRPr="00216147">
        <w:rPr>
          <w:rFonts w:ascii="Cambria" w:hAnsi="Cambria"/>
          <w:i/>
          <w:iCs/>
          <w:sz w:val="24"/>
          <w:szCs w:val="24"/>
          <w:lang w:val="en-US"/>
        </w:rPr>
        <w:t>Dumping in Dixie: Race, class, and environmental quality</w:t>
      </w:r>
      <w:r w:rsidRPr="00216147">
        <w:rPr>
          <w:rFonts w:ascii="Cambria" w:hAnsi="Cambria"/>
          <w:sz w:val="24"/>
          <w:szCs w:val="24"/>
          <w:lang w:val="en-US"/>
        </w:rPr>
        <w:t>. Routledge.</w:t>
      </w:r>
    </w:p>
    <w:p w14:paraId="13FAFEFC" w14:textId="77777777" w:rsidR="00C93EFC" w:rsidRPr="003874E5" w:rsidRDefault="00C93EFC" w:rsidP="003874E5">
      <w:pPr>
        <w:numPr>
          <w:ilvl w:val="0"/>
          <w:numId w:val="4"/>
        </w:numPr>
        <w:tabs>
          <w:tab w:val="clear" w:pos="720"/>
          <w:tab w:val="num" w:pos="360"/>
        </w:tabs>
        <w:ind w:left="360"/>
        <w:rPr>
          <w:rFonts w:ascii="Cambria" w:hAnsi="Cambria"/>
          <w:sz w:val="24"/>
          <w:szCs w:val="24"/>
          <w:lang w:val="en-US"/>
        </w:rPr>
      </w:pPr>
      <w:r w:rsidRPr="009210A8">
        <w:rPr>
          <w:rFonts w:ascii="Cambria" w:hAnsi="Cambria"/>
          <w:sz w:val="24"/>
          <w:szCs w:val="24"/>
          <w:lang w:val="en-US"/>
        </w:rPr>
        <w:t xml:space="preserve">Bullard, R. D. (2021). </w:t>
      </w:r>
      <w:r w:rsidRPr="00455F5A">
        <w:rPr>
          <w:rFonts w:ascii="Cambria" w:hAnsi="Cambria"/>
          <w:i/>
          <w:iCs/>
          <w:sz w:val="24"/>
          <w:szCs w:val="24"/>
          <w:lang w:val="en-US"/>
        </w:rPr>
        <w:t>Dumping in Dixie: Race, class, and environmental quality</w:t>
      </w:r>
      <w:r w:rsidRPr="009210A8">
        <w:rPr>
          <w:rFonts w:ascii="Cambria" w:hAnsi="Cambria"/>
          <w:sz w:val="24"/>
          <w:szCs w:val="24"/>
          <w:lang w:val="en-US"/>
        </w:rPr>
        <w:t xml:space="preserve">. </w:t>
      </w:r>
      <w:r w:rsidRPr="003874E5">
        <w:rPr>
          <w:rFonts w:ascii="Cambria" w:hAnsi="Cambria"/>
          <w:sz w:val="24"/>
          <w:szCs w:val="24"/>
          <w:lang w:val="en-US"/>
        </w:rPr>
        <w:t>Routledge.</w:t>
      </w:r>
    </w:p>
    <w:p w14:paraId="7C5C018D" w14:textId="77777777" w:rsidR="00C93EFC" w:rsidRDefault="00C93EFC" w:rsidP="003874E5">
      <w:pPr>
        <w:numPr>
          <w:ilvl w:val="0"/>
          <w:numId w:val="4"/>
        </w:numPr>
        <w:tabs>
          <w:tab w:val="clear" w:pos="720"/>
          <w:tab w:val="num" w:pos="360"/>
        </w:tabs>
        <w:ind w:left="360"/>
        <w:rPr>
          <w:rFonts w:ascii="Cambria" w:hAnsi="Cambria"/>
          <w:sz w:val="24"/>
          <w:szCs w:val="24"/>
          <w:lang w:val="en-US"/>
        </w:rPr>
      </w:pPr>
      <w:r w:rsidRPr="003874E5">
        <w:rPr>
          <w:rFonts w:ascii="Cambria" w:hAnsi="Cambria"/>
          <w:sz w:val="24"/>
          <w:szCs w:val="24"/>
          <w:lang w:val="es-DO"/>
        </w:rPr>
        <w:t xml:space="preserve">Caron, P., Treyer, S., &amp; Gordon, L. (2014). </w:t>
      </w:r>
      <w:r w:rsidRPr="00EB5DEE">
        <w:rPr>
          <w:rFonts w:ascii="Cambria" w:hAnsi="Cambria"/>
          <w:sz w:val="24"/>
          <w:szCs w:val="24"/>
        </w:rPr>
        <w:t xml:space="preserve">Agriculture mondiale : enjeux et défis. </w:t>
      </w:r>
      <w:r w:rsidRPr="003874E5">
        <w:rPr>
          <w:rFonts w:ascii="Cambria" w:hAnsi="Cambria"/>
          <w:sz w:val="24"/>
          <w:szCs w:val="24"/>
          <w:lang w:val="en-US"/>
        </w:rPr>
        <w:t>CIRAD.</w:t>
      </w:r>
    </w:p>
    <w:p w14:paraId="0362B1EA" w14:textId="2E143EC5" w:rsidR="00111D38" w:rsidRPr="00111D38" w:rsidRDefault="00111D38" w:rsidP="003874E5">
      <w:pPr>
        <w:numPr>
          <w:ilvl w:val="0"/>
          <w:numId w:val="4"/>
        </w:numPr>
        <w:tabs>
          <w:tab w:val="clear" w:pos="720"/>
          <w:tab w:val="num" w:pos="360"/>
        </w:tabs>
        <w:ind w:left="360"/>
        <w:rPr>
          <w:rFonts w:ascii="Cambria" w:hAnsi="Cambria"/>
          <w:sz w:val="24"/>
          <w:szCs w:val="24"/>
        </w:rPr>
      </w:pPr>
      <w:r w:rsidRPr="00111D38">
        <w:rPr>
          <w:rFonts w:ascii="Cambria" w:hAnsi="Cambria"/>
          <w:sz w:val="24"/>
          <w:szCs w:val="24"/>
        </w:rPr>
        <w:t xml:space="preserve">Carson, R. (1962). </w:t>
      </w:r>
      <w:r w:rsidRPr="00111D38">
        <w:rPr>
          <w:rFonts w:ascii="Cambria" w:hAnsi="Cambria"/>
          <w:i/>
          <w:iCs/>
          <w:sz w:val="24"/>
          <w:szCs w:val="24"/>
        </w:rPr>
        <w:t>Le printemps silencieux</w:t>
      </w:r>
      <w:r>
        <w:rPr>
          <w:rFonts w:ascii="Cambria" w:hAnsi="Cambria"/>
          <w:sz w:val="24"/>
          <w:szCs w:val="24"/>
        </w:rPr>
        <w:t>. Livre de Poche.</w:t>
      </w:r>
    </w:p>
    <w:p w14:paraId="57576DDC" w14:textId="12B46BE0" w:rsidR="00C93EFC" w:rsidRPr="00216147" w:rsidRDefault="00C93EFC" w:rsidP="00C93EFC">
      <w:pPr>
        <w:pStyle w:val="Paragraphedeliste"/>
        <w:numPr>
          <w:ilvl w:val="0"/>
          <w:numId w:val="4"/>
        </w:numPr>
        <w:tabs>
          <w:tab w:val="clear" w:pos="720"/>
          <w:tab w:val="num" w:pos="360"/>
        </w:tabs>
        <w:ind w:left="360"/>
        <w:rPr>
          <w:rFonts w:ascii="Cambria" w:hAnsi="Cambria"/>
          <w:sz w:val="24"/>
          <w:szCs w:val="24"/>
          <w:lang w:val="en-US"/>
        </w:rPr>
      </w:pPr>
      <w:r w:rsidRPr="00216147">
        <w:rPr>
          <w:rFonts w:ascii="Cambria" w:hAnsi="Cambria"/>
          <w:sz w:val="24"/>
          <w:szCs w:val="24"/>
        </w:rPr>
        <w:t xml:space="preserve">CETIM. (2025). </w:t>
      </w:r>
      <w:r w:rsidRPr="00216147">
        <w:rPr>
          <w:rFonts w:ascii="Cambria" w:hAnsi="Cambria"/>
          <w:i/>
          <w:iCs/>
          <w:sz w:val="24"/>
          <w:szCs w:val="24"/>
        </w:rPr>
        <w:t>Les pesticides dans les pays du Sud : enjeux de santé publique et de justice environnementale</w:t>
      </w:r>
      <w:r w:rsidRPr="00216147">
        <w:rPr>
          <w:rFonts w:ascii="Cambria" w:hAnsi="Cambria"/>
          <w:sz w:val="24"/>
          <w:szCs w:val="24"/>
        </w:rPr>
        <w:t xml:space="preserve">. </w:t>
      </w:r>
      <w:r w:rsidRPr="00216147">
        <w:rPr>
          <w:rFonts w:ascii="Cambria" w:hAnsi="Cambria"/>
          <w:sz w:val="24"/>
          <w:szCs w:val="24"/>
          <w:lang w:val="en-US"/>
        </w:rPr>
        <w:t>Genève: Centre Europe – Tiers Monde.</w:t>
      </w:r>
    </w:p>
    <w:p w14:paraId="501E81D7" w14:textId="77777777" w:rsidR="00C93EFC" w:rsidRPr="00216147" w:rsidRDefault="00C93EFC" w:rsidP="00C93EFC">
      <w:pPr>
        <w:pStyle w:val="Paragraphedeliste"/>
        <w:numPr>
          <w:ilvl w:val="0"/>
          <w:numId w:val="4"/>
        </w:numPr>
        <w:tabs>
          <w:tab w:val="clear" w:pos="720"/>
          <w:tab w:val="num" w:pos="360"/>
        </w:tabs>
        <w:ind w:left="360"/>
        <w:rPr>
          <w:rFonts w:ascii="Cambria" w:hAnsi="Cambria"/>
          <w:sz w:val="24"/>
          <w:szCs w:val="24"/>
          <w:lang w:val="en-US"/>
        </w:rPr>
      </w:pPr>
      <w:r w:rsidRPr="00216147">
        <w:rPr>
          <w:rFonts w:ascii="Cambria" w:hAnsi="Cambria"/>
          <w:sz w:val="24"/>
          <w:szCs w:val="24"/>
          <w:lang w:val="en-US"/>
        </w:rPr>
        <w:lastRenderedPageBreak/>
        <w:t xml:space="preserve">Covello, V. T. (1983). </w:t>
      </w:r>
      <w:r w:rsidRPr="00C93EFC">
        <w:rPr>
          <w:rFonts w:ascii="Cambria" w:hAnsi="Cambria"/>
          <w:i/>
          <w:iCs/>
          <w:sz w:val="24"/>
          <w:szCs w:val="24"/>
          <w:lang w:val="en-US"/>
        </w:rPr>
        <w:t>The perception of technological risks: A literature review</w:t>
      </w:r>
      <w:r w:rsidRPr="00216147">
        <w:rPr>
          <w:rFonts w:ascii="Cambria" w:hAnsi="Cambria"/>
          <w:sz w:val="24"/>
          <w:szCs w:val="24"/>
          <w:lang w:val="en-US"/>
        </w:rPr>
        <w:t xml:space="preserve">. </w:t>
      </w:r>
      <w:r w:rsidRPr="00216147">
        <w:rPr>
          <w:rFonts w:ascii="Cambria" w:hAnsi="Cambria"/>
          <w:i/>
          <w:iCs/>
          <w:sz w:val="24"/>
          <w:szCs w:val="24"/>
          <w:lang w:val="en-US"/>
        </w:rPr>
        <w:t>Technological Forecasting and Social Change, 23</w:t>
      </w:r>
      <w:r w:rsidRPr="00216147">
        <w:rPr>
          <w:rFonts w:ascii="Cambria" w:hAnsi="Cambria"/>
          <w:sz w:val="24"/>
          <w:szCs w:val="24"/>
          <w:lang w:val="en-US"/>
        </w:rPr>
        <w:t>(4), 285–297.</w:t>
      </w:r>
    </w:p>
    <w:p w14:paraId="3D67E4AE" w14:textId="77777777" w:rsidR="00C93EFC" w:rsidRPr="003874E5" w:rsidRDefault="00C93EFC" w:rsidP="003874E5">
      <w:pPr>
        <w:numPr>
          <w:ilvl w:val="0"/>
          <w:numId w:val="4"/>
        </w:numPr>
        <w:tabs>
          <w:tab w:val="clear" w:pos="720"/>
          <w:tab w:val="num" w:pos="360"/>
        </w:tabs>
        <w:ind w:left="360"/>
        <w:rPr>
          <w:rFonts w:ascii="Cambria" w:hAnsi="Cambria"/>
          <w:sz w:val="24"/>
          <w:szCs w:val="24"/>
          <w:lang w:val="en-US"/>
        </w:rPr>
      </w:pPr>
      <w:r w:rsidRPr="009210A8">
        <w:rPr>
          <w:rFonts w:ascii="Cambria" w:hAnsi="Cambria"/>
          <w:sz w:val="24"/>
          <w:szCs w:val="24"/>
          <w:lang w:val="en-US"/>
        </w:rPr>
        <w:t xml:space="preserve">Covello, V. T., &amp; Merkhofer, M. W. (1993). </w:t>
      </w:r>
      <w:r w:rsidRPr="00455F5A">
        <w:rPr>
          <w:rFonts w:ascii="Cambria" w:hAnsi="Cambria"/>
          <w:i/>
          <w:iCs/>
          <w:sz w:val="24"/>
          <w:szCs w:val="24"/>
          <w:lang w:val="en-US"/>
        </w:rPr>
        <w:t>Risk Assessment Methods: Approaches for Assessing Health and Environmental Risks</w:t>
      </w:r>
      <w:r w:rsidRPr="009210A8">
        <w:rPr>
          <w:rFonts w:ascii="Cambria" w:hAnsi="Cambria"/>
          <w:sz w:val="24"/>
          <w:szCs w:val="24"/>
          <w:lang w:val="en-US"/>
        </w:rPr>
        <w:t xml:space="preserve">. </w:t>
      </w:r>
      <w:r w:rsidRPr="003874E5">
        <w:rPr>
          <w:rFonts w:ascii="Cambria" w:hAnsi="Cambria"/>
          <w:sz w:val="24"/>
          <w:szCs w:val="24"/>
          <w:lang w:val="en-US"/>
        </w:rPr>
        <w:t>Springer.</w:t>
      </w:r>
    </w:p>
    <w:p w14:paraId="44B727DC" w14:textId="77777777" w:rsidR="00C93EFC" w:rsidRPr="00675924" w:rsidRDefault="00C93EFC" w:rsidP="004D204B">
      <w:pPr>
        <w:numPr>
          <w:ilvl w:val="0"/>
          <w:numId w:val="4"/>
        </w:numPr>
        <w:tabs>
          <w:tab w:val="clear" w:pos="720"/>
          <w:tab w:val="num" w:pos="360"/>
        </w:tabs>
        <w:ind w:left="360"/>
        <w:rPr>
          <w:rFonts w:ascii="Cambria" w:hAnsi="Cambria"/>
          <w:sz w:val="24"/>
          <w:szCs w:val="24"/>
          <w:lang w:val="en-US"/>
        </w:rPr>
      </w:pPr>
      <w:r w:rsidRPr="00675924">
        <w:rPr>
          <w:rFonts w:ascii="Cambria" w:hAnsi="Cambria"/>
          <w:sz w:val="24"/>
          <w:szCs w:val="24"/>
          <w:lang w:val="en-US"/>
        </w:rPr>
        <w:t xml:space="preserve">Ewald, F. (1986). </w:t>
      </w:r>
      <w:proofErr w:type="spellStart"/>
      <w:r w:rsidRPr="00675924">
        <w:rPr>
          <w:rFonts w:ascii="Cambria" w:hAnsi="Cambria"/>
          <w:i/>
          <w:iCs/>
          <w:sz w:val="24"/>
          <w:szCs w:val="24"/>
          <w:lang w:val="en-US"/>
        </w:rPr>
        <w:t>L’État</w:t>
      </w:r>
      <w:proofErr w:type="spellEnd"/>
      <w:r w:rsidRPr="00675924">
        <w:rPr>
          <w:rFonts w:ascii="Cambria" w:hAnsi="Cambria"/>
          <w:i/>
          <w:iCs/>
          <w:sz w:val="24"/>
          <w:szCs w:val="24"/>
          <w:lang w:val="en-US"/>
        </w:rPr>
        <w:t xml:space="preserve"> providence</w:t>
      </w:r>
      <w:r w:rsidRPr="00675924">
        <w:rPr>
          <w:rFonts w:ascii="Cambria" w:hAnsi="Cambria"/>
          <w:sz w:val="24"/>
          <w:szCs w:val="24"/>
          <w:lang w:val="en-US"/>
        </w:rPr>
        <w:t>. Grasset.</w:t>
      </w:r>
    </w:p>
    <w:p w14:paraId="41810A8C" w14:textId="77777777" w:rsidR="00C93EFC" w:rsidRPr="00675924" w:rsidRDefault="00C93EFC" w:rsidP="004D204B">
      <w:pPr>
        <w:numPr>
          <w:ilvl w:val="0"/>
          <w:numId w:val="4"/>
        </w:numPr>
        <w:tabs>
          <w:tab w:val="clear" w:pos="720"/>
          <w:tab w:val="num" w:pos="360"/>
        </w:tabs>
        <w:ind w:left="360"/>
        <w:rPr>
          <w:rFonts w:ascii="Cambria" w:hAnsi="Cambria"/>
          <w:sz w:val="24"/>
          <w:szCs w:val="24"/>
        </w:rPr>
      </w:pPr>
      <w:proofErr w:type="spellStart"/>
      <w:r w:rsidRPr="00675924">
        <w:rPr>
          <w:rFonts w:ascii="Cambria" w:hAnsi="Cambria"/>
          <w:sz w:val="24"/>
          <w:szCs w:val="24"/>
        </w:rPr>
        <w:t>Fressoz</w:t>
      </w:r>
      <w:proofErr w:type="spellEnd"/>
      <w:r w:rsidRPr="00675924">
        <w:rPr>
          <w:rFonts w:ascii="Cambria" w:hAnsi="Cambria"/>
          <w:sz w:val="24"/>
          <w:szCs w:val="24"/>
        </w:rPr>
        <w:t xml:space="preserve">, J.-B. (2012). </w:t>
      </w:r>
      <w:r w:rsidRPr="00675924">
        <w:rPr>
          <w:rFonts w:ascii="Cambria" w:hAnsi="Cambria"/>
          <w:i/>
          <w:iCs/>
          <w:sz w:val="24"/>
          <w:szCs w:val="24"/>
        </w:rPr>
        <w:t>L’Apocalypse joyeuse : Une histoire du risque technologique</w:t>
      </w:r>
      <w:r w:rsidRPr="00675924">
        <w:rPr>
          <w:rFonts w:ascii="Cambria" w:hAnsi="Cambria"/>
          <w:sz w:val="24"/>
          <w:szCs w:val="24"/>
        </w:rPr>
        <w:t>. Seuil.</w:t>
      </w:r>
    </w:p>
    <w:p w14:paraId="0E7E7EB8" w14:textId="77777777" w:rsidR="00C93EFC" w:rsidRPr="00675924" w:rsidRDefault="00C93EFC" w:rsidP="004D204B">
      <w:pPr>
        <w:numPr>
          <w:ilvl w:val="0"/>
          <w:numId w:val="4"/>
        </w:numPr>
        <w:tabs>
          <w:tab w:val="clear" w:pos="720"/>
          <w:tab w:val="num" w:pos="360"/>
        </w:tabs>
        <w:ind w:left="360"/>
        <w:rPr>
          <w:rFonts w:ascii="Cambria" w:hAnsi="Cambria"/>
          <w:sz w:val="24"/>
          <w:szCs w:val="24"/>
        </w:rPr>
      </w:pPr>
      <w:r w:rsidRPr="00675924">
        <w:rPr>
          <w:rFonts w:ascii="Cambria" w:hAnsi="Cambria"/>
          <w:sz w:val="24"/>
          <w:szCs w:val="24"/>
        </w:rPr>
        <w:t xml:space="preserve">Godard, O. (1997). Le principe de précaution : significations et conséquences. </w:t>
      </w:r>
      <w:r w:rsidRPr="00675924">
        <w:rPr>
          <w:rFonts w:ascii="Cambria" w:hAnsi="Cambria"/>
          <w:i/>
          <w:iCs/>
          <w:sz w:val="24"/>
          <w:szCs w:val="24"/>
        </w:rPr>
        <w:t>Revue économique</w:t>
      </w:r>
      <w:r w:rsidRPr="00675924">
        <w:rPr>
          <w:rFonts w:ascii="Cambria" w:hAnsi="Cambria"/>
          <w:sz w:val="24"/>
          <w:szCs w:val="24"/>
        </w:rPr>
        <w:t>, 48(6), 1413–1437.</w:t>
      </w:r>
    </w:p>
    <w:p w14:paraId="25D014DD" w14:textId="77777777" w:rsidR="00C93EFC" w:rsidRDefault="00C93EFC" w:rsidP="00931C8B">
      <w:pPr>
        <w:numPr>
          <w:ilvl w:val="0"/>
          <w:numId w:val="4"/>
        </w:numPr>
        <w:tabs>
          <w:tab w:val="clear" w:pos="720"/>
          <w:tab w:val="num" w:pos="360"/>
        </w:tabs>
        <w:ind w:left="360"/>
        <w:rPr>
          <w:rFonts w:ascii="Cambria" w:hAnsi="Cambria"/>
          <w:sz w:val="24"/>
          <w:szCs w:val="24"/>
        </w:rPr>
      </w:pPr>
      <w:r w:rsidRPr="00675924">
        <w:rPr>
          <w:rFonts w:ascii="Cambria" w:hAnsi="Cambria"/>
          <w:sz w:val="24"/>
          <w:szCs w:val="24"/>
        </w:rPr>
        <w:t xml:space="preserve">Gras, R. (2012). </w:t>
      </w:r>
      <w:r w:rsidRPr="00675924">
        <w:rPr>
          <w:rFonts w:ascii="Cambria" w:hAnsi="Cambria"/>
          <w:i/>
          <w:iCs/>
          <w:sz w:val="24"/>
          <w:szCs w:val="24"/>
        </w:rPr>
        <w:t>L’agriculture productiviste en question</w:t>
      </w:r>
      <w:r w:rsidRPr="00675924">
        <w:rPr>
          <w:rFonts w:ascii="Cambria" w:hAnsi="Cambria"/>
          <w:sz w:val="24"/>
          <w:szCs w:val="24"/>
        </w:rPr>
        <w:t>. Presses Universitaires de Rennes.</w:t>
      </w:r>
    </w:p>
    <w:p w14:paraId="3ABD28B8" w14:textId="77777777" w:rsidR="00C93EFC" w:rsidRPr="00931C8B" w:rsidRDefault="00C93EFC" w:rsidP="00931C8B">
      <w:pPr>
        <w:numPr>
          <w:ilvl w:val="0"/>
          <w:numId w:val="4"/>
        </w:numPr>
        <w:tabs>
          <w:tab w:val="clear" w:pos="720"/>
          <w:tab w:val="num" w:pos="360"/>
        </w:tabs>
        <w:ind w:left="360"/>
        <w:rPr>
          <w:rFonts w:ascii="Cambria" w:hAnsi="Cambria"/>
          <w:sz w:val="24"/>
          <w:szCs w:val="24"/>
        </w:rPr>
      </w:pPr>
      <w:r w:rsidRPr="00931C8B">
        <w:rPr>
          <w:rFonts w:ascii="Cambria" w:hAnsi="Cambria"/>
          <w:sz w:val="24"/>
          <w:szCs w:val="24"/>
          <w:lang w:val="en-US"/>
        </w:rPr>
        <w:t xml:space="preserve">Hallmann, C. A., Sorg, M., </w:t>
      </w:r>
      <w:proofErr w:type="spellStart"/>
      <w:r w:rsidRPr="00931C8B">
        <w:rPr>
          <w:rFonts w:ascii="Cambria" w:hAnsi="Cambria"/>
          <w:sz w:val="24"/>
          <w:szCs w:val="24"/>
          <w:lang w:val="en-US"/>
        </w:rPr>
        <w:t>Jongejans</w:t>
      </w:r>
      <w:proofErr w:type="spellEnd"/>
      <w:r w:rsidRPr="00931C8B">
        <w:rPr>
          <w:rFonts w:ascii="Cambria" w:hAnsi="Cambria"/>
          <w:sz w:val="24"/>
          <w:szCs w:val="24"/>
          <w:lang w:val="en-US"/>
        </w:rPr>
        <w:t xml:space="preserve">, E., </w:t>
      </w:r>
      <w:proofErr w:type="spellStart"/>
      <w:r w:rsidRPr="00931C8B">
        <w:rPr>
          <w:rFonts w:ascii="Cambria" w:hAnsi="Cambria"/>
          <w:sz w:val="24"/>
          <w:szCs w:val="24"/>
          <w:lang w:val="en-US"/>
        </w:rPr>
        <w:t>Siepel</w:t>
      </w:r>
      <w:proofErr w:type="spellEnd"/>
      <w:r w:rsidRPr="00931C8B">
        <w:rPr>
          <w:rFonts w:ascii="Cambria" w:hAnsi="Cambria"/>
          <w:sz w:val="24"/>
          <w:szCs w:val="24"/>
          <w:lang w:val="en-US"/>
        </w:rPr>
        <w:t xml:space="preserve">, H., Hofland, N., Schwan, H., … &amp; de Kroon, H. (2017). </w:t>
      </w:r>
      <w:r w:rsidRPr="00931C8B">
        <w:rPr>
          <w:rFonts w:ascii="Cambria" w:hAnsi="Cambria"/>
          <w:i/>
          <w:iCs/>
          <w:sz w:val="24"/>
          <w:szCs w:val="24"/>
          <w:lang w:val="en-US"/>
        </w:rPr>
        <w:t>More than 75 percent decline over 27 years in total flying insect biomass in protected areas</w:t>
      </w:r>
      <w:r w:rsidRPr="00931C8B">
        <w:rPr>
          <w:rFonts w:ascii="Cambria" w:hAnsi="Cambria"/>
          <w:sz w:val="24"/>
          <w:szCs w:val="24"/>
          <w:lang w:val="en-US"/>
        </w:rPr>
        <w:t xml:space="preserve">. </w:t>
      </w:r>
      <w:r w:rsidRPr="00931C8B">
        <w:rPr>
          <w:rFonts w:ascii="Cambria" w:hAnsi="Cambria"/>
          <w:sz w:val="24"/>
          <w:szCs w:val="24"/>
        </w:rPr>
        <w:t>PLOS ONE, 12(10), e0185809.</w:t>
      </w:r>
    </w:p>
    <w:p w14:paraId="05CFEACC" w14:textId="77777777" w:rsidR="00C93EFC" w:rsidRPr="009210A8" w:rsidRDefault="00C93EFC" w:rsidP="003874E5">
      <w:pPr>
        <w:numPr>
          <w:ilvl w:val="0"/>
          <w:numId w:val="4"/>
        </w:numPr>
        <w:tabs>
          <w:tab w:val="clear" w:pos="720"/>
          <w:tab w:val="num" w:pos="360"/>
        </w:tabs>
        <w:ind w:left="360"/>
        <w:rPr>
          <w:rFonts w:ascii="Cambria" w:hAnsi="Cambria"/>
          <w:sz w:val="24"/>
          <w:szCs w:val="24"/>
          <w:lang w:val="en-US"/>
        </w:rPr>
      </w:pPr>
      <w:r w:rsidRPr="009210A8">
        <w:rPr>
          <w:rFonts w:ascii="Cambria" w:hAnsi="Cambria"/>
          <w:sz w:val="24"/>
          <w:szCs w:val="24"/>
          <w:lang w:val="en-US"/>
        </w:rPr>
        <w:t xml:space="preserve">IPCC (2022). </w:t>
      </w:r>
      <w:r w:rsidRPr="003874E5">
        <w:rPr>
          <w:rFonts w:ascii="Cambria" w:hAnsi="Cambria"/>
          <w:sz w:val="24"/>
          <w:szCs w:val="24"/>
          <w:lang w:val="en-US"/>
        </w:rPr>
        <w:t>Sixth Assessment Report</w:t>
      </w:r>
      <w:r w:rsidRPr="009210A8">
        <w:rPr>
          <w:rFonts w:ascii="Cambria" w:hAnsi="Cambria"/>
          <w:sz w:val="24"/>
          <w:szCs w:val="24"/>
          <w:lang w:val="en-US"/>
        </w:rPr>
        <w:t>. Cambridge University Press.</w:t>
      </w:r>
    </w:p>
    <w:p w14:paraId="146F4052" w14:textId="77777777" w:rsidR="00C93EFC" w:rsidRPr="00675924" w:rsidRDefault="00C93EFC" w:rsidP="004D204B">
      <w:pPr>
        <w:numPr>
          <w:ilvl w:val="0"/>
          <w:numId w:val="4"/>
        </w:numPr>
        <w:tabs>
          <w:tab w:val="clear" w:pos="720"/>
          <w:tab w:val="num" w:pos="360"/>
        </w:tabs>
        <w:ind w:left="360"/>
        <w:rPr>
          <w:rFonts w:ascii="Cambria" w:hAnsi="Cambria"/>
          <w:sz w:val="24"/>
          <w:szCs w:val="24"/>
        </w:rPr>
      </w:pPr>
      <w:r w:rsidRPr="00675924">
        <w:rPr>
          <w:rFonts w:ascii="Cambria" w:hAnsi="Cambria"/>
          <w:sz w:val="24"/>
          <w:szCs w:val="24"/>
          <w:lang w:val="en-US"/>
        </w:rPr>
        <w:t xml:space="preserve">Jasanoff, S. (1999). </w:t>
      </w:r>
      <w:r w:rsidRPr="00675924">
        <w:rPr>
          <w:rFonts w:ascii="Cambria" w:hAnsi="Cambria"/>
          <w:i/>
          <w:iCs/>
          <w:sz w:val="24"/>
          <w:szCs w:val="24"/>
          <w:lang w:val="en-US"/>
        </w:rPr>
        <w:t>The Songlines of Risk</w:t>
      </w:r>
      <w:r w:rsidRPr="00675924">
        <w:rPr>
          <w:rFonts w:ascii="Cambria" w:hAnsi="Cambria"/>
          <w:sz w:val="24"/>
          <w:szCs w:val="24"/>
          <w:lang w:val="en-US"/>
        </w:rPr>
        <w:t xml:space="preserve">. </w:t>
      </w:r>
      <w:proofErr w:type="spellStart"/>
      <w:r w:rsidRPr="00675924">
        <w:rPr>
          <w:rFonts w:ascii="Cambria" w:hAnsi="Cambria"/>
          <w:sz w:val="24"/>
          <w:szCs w:val="24"/>
        </w:rPr>
        <w:t>Environmental</w:t>
      </w:r>
      <w:proofErr w:type="spellEnd"/>
      <w:r w:rsidRPr="00675924">
        <w:rPr>
          <w:rFonts w:ascii="Cambria" w:hAnsi="Cambria"/>
          <w:sz w:val="24"/>
          <w:szCs w:val="24"/>
        </w:rPr>
        <w:t xml:space="preserve"> Values, 8(2), 135–152.</w:t>
      </w:r>
    </w:p>
    <w:p w14:paraId="0B0343B6" w14:textId="77777777" w:rsidR="00C93EFC" w:rsidRPr="00675924" w:rsidRDefault="00C93EFC" w:rsidP="004D204B">
      <w:pPr>
        <w:numPr>
          <w:ilvl w:val="0"/>
          <w:numId w:val="4"/>
        </w:numPr>
        <w:tabs>
          <w:tab w:val="clear" w:pos="720"/>
          <w:tab w:val="num" w:pos="360"/>
        </w:tabs>
        <w:ind w:left="360"/>
        <w:rPr>
          <w:rFonts w:ascii="Cambria" w:hAnsi="Cambria"/>
          <w:sz w:val="24"/>
          <w:szCs w:val="24"/>
        </w:rPr>
      </w:pPr>
      <w:r w:rsidRPr="005818E3">
        <w:rPr>
          <w:rFonts w:ascii="Cambria" w:hAnsi="Cambria"/>
          <w:sz w:val="24"/>
          <w:szCs w:val="24"/>
          <w:lang w:val="nl-BE"/>
        </w:rPr>
        <w:t xml:space="preserve">Jonas, H. (1979). </w:t>
      </w:r>
      <w:r w:rsidRPr="005818E3">
        <w:rPr>
          <w:rFonts w:ascii="Cambria" w:hAnsi="Cambria"/>
          <w:i/>
          <w:iCs/>
          <w:sz w:val="24"/>
          <w:szCs w:val="24"/>
          <w:lang w:val="nl-BE"/>
        </w:rPr>
        <w:t>Das Prinzip Verantwortung: Versuch einer Ethik für die technologische Zivilisation</w:t>
      </w:r>
      <w:r w:rsidRPr="005818E3">
        <w:rPr>
          <w:rFonts w:ascii="Cambria" w:hAnsi="Cambria"/>
          <w:sz w:val="24"/>
          <w:szCs w:val="24"/>
          <w:lang w:val="nl-BE"/>
        </w:rPr>
        <w:t xml:space="preserve">. </w:t>
      </w:r>
      <w:r w:rsidRPr="00675924">
        <w:rPr>
          <w:rFonts w:ascii="Cambria" w:hAnsi="Cambria"/>
          <w:sz w:val="24"/>
          <w:szCs w:val="24"/>
        </w:rPr>
        <w:t xml:space="preserve">Insel </w:t>
      </w:r>
      <w:proofErr w:type="spellStart"/>
      <w:r w:rsidRPr="00675924">
        <w:rPr>
          <w:rFonts w:ascii="Cambria" w:hAnsi="Cambria"/>
          <w:sz w:val="24"/>
          <w:szCs w:val="24"/>
        </w:rPr>
        <w:t>Verlag</w:t>
      </w:r>
      <w:proofErr w:type="spellEnd"/>
      <w:r w:rsidRPr="00675924">
        <w:rPr>
          <w:rFonts w:ascii="Cambria" w:hAnsi="Cambria"/>
          <w:sz w:val="24"/>
          <w:szCs w:val="24"/>
        </w:rPr>
        <w:t xml:space="preserve">. [Trad. </w:t>
      </w:r>
      <w:proofErr w:type="spellStart"/>
      <w:r w:rsidRPr="00675924">
        <w:rPr>
          <w:rFonts w:ascii="Cambria" w:hAnsi="Cambria"/>
          <w:sz w:val="24"/>
          <w:szCs w:val="24"/>
        </w:rPr>
        <w:t>fr.</w:t>
      </w:r>
      <w:proofErr w:type="spellEnd"/>
      <w:r w:rsidRPr="00675924">
        <w:rPr>
          <w:rFonts w:ascii="Cambria" w:hAnsi="Cambria"/>
          <w:sz w:val="24"/>
          <w:szCs w:val="24"/>
        </w:rPr>
        <w:t xml:space="preserve"> : Le principe responsabilité. Flammarion, 1990].</w:t>
      </w:r>
    </w:p>
    <w:p w14:paraId="17496041" w14:textId="77777777" w:rsidR="00C93EFC" w:rsidRPr="00EE4325" w:rsidRDefault="00C93EFC" w:rsidP="00C93EFC">
      <w:pPr>
        <w:pStyle w:val="Paragraphedeliste"/>
        <w:numPr>
          <w:ilvl w:val="0"/>
          <w:numId w:val="4"/>
        </w:numPr>
        <w:tabs>
          <w:tab w:val="clear" w:pos="720"/>
          <w:tab w:val="num" w:pos="360"/>
        </w:tabs>
        <w:ind w:left="360"/>
        <w:rPr>
          <w:rFonts w:ascii="Cambria" w:hAnsi="Cambria"/>
          <w:sz w:val="24"/>
          <w:szCs w:val="24"/>
          <w:lang w:val="en-US"/>
        </w:rPr>
      </w:pPr>
      <w:r w:rsidRPr="00216147">
        <w:rPr>
          <w:rFonts w:ascii="Cambria" w:hAnsi="Cambria"/>
          <w:sz w:val="24"/>
          <w:szCs w:val="24"/>
          <w:lang w:val="en-US"/>
        </w:rPr>
        <w:t xml:space="preserve">Kasperson, R. E., Renn, O., Slovic, P., Brown, H. S., Emel, J., Goble, R., ... &amp; </w:t>
      </w:r>
      <w:proofErr w:type="spellStart"/>
      <w:r w:rsidRPr="00216147">
        <w:rPr>
          <w:rFonts w:ascii="Cambria" w:hAnsi="Cambria"/>
          <w:sz w:val="24"/>
          <w:szCs w:val="24"/>
          <w:lang w:val="en-US"/>
        </w:rPr>
        <w:t>Ratick</w:t>
      </w:r>
      <w:proofErr w:type="spellEnd"/>
      <w:r w:rsidRPr="00216147">
        <w:rPr>
          <w:rFonts w:ascii="Cambria" w:hAnsi="Cambria"/>
          <w:sz w:val="24"/>
          <w:szCs w:val="24"/>
          <w:lang w:val="en-US"/>
        </w:rPr>
        <w:t xml:space="preserve">, S. (1988). </w:t>
      </w:r>
      <w:r w:rsidRPr="00C93EFC">
        <w:rPr>
          <w:rFonts w:ascii="Cambria" w:hAnsi="Cambria"/>
          <w:i/>
          <w:iCs/>
          <w:sz w:val="24"/>
          <w:szCs w:val="24"/>
          <w:lang w:val="en-US"/>
        </w:rPr>
        <w:t>The social amplification of risk: A conceptual framework</w:t>
      </w:r>
      <w:r w:rsidRPr="00216147">
        <w:rPr>
          <w:rFonts w:ascii="Cambria" w:hAnsi="Cambria"/>
          <w:sz w:val="24"/>
          <w:szCs w:val="24"/>
          <w:lang w:val="en-US"/>
        </w:rPr>
        <w:t xml:space="preserve">. </w:t>
      </w:r>
      <w:r w:rsidRPr="00EE4325">
        <w:rPr>
          <w:rFonts w:ascii="Cambria" w:hAnsi="Cambria"/>
          <w:sz w:val="24"/>
          <w:szCs w:val="24"/>
          <w:lang w:val="en-US"/>
        </w:rPr>
        <w:t>Risk Analysis, 8(2), 177–187.</w:t>
      </w:r>
    </w:p>
    <w:p w14:paraId="5FC97F5D" w14:textId="77777777" w:rsidR="00C93EFC" w:rsidRPr="00675924" w:rsidRDefault="00C93EFC" w:rsidP="004D204B">
      <w:pPr>
        <w:numPr>
          <w:ilvl w:val="0"/>
          <w:numId w:val="4"/>
        </w:numPr>
        <w:tabs>
          <w:tab w:val="clear" w:pos="720"/>
          <w:tab w:val="num" w:pos="360"/>
        </w:tabs>
        <w:ind w:left="360"/>
        <w:rPr>
          <w:rFonts w:ascii="Cambria" w:hAnsi="Cambria"/>
          <w:sz w:val="24"/>
          <w:szCs w:val="24"/>
        </w:rPr>
      </w:pPr>
      <w:r w:rsidRPr="00675924">
        <w:rPr>
          <w:rFonts w:ascii="Cambria" w:hAnsi="Cambria"/>
          <w:sz w:val="24"/>
          <w:szCs w:val="24"/>
        </w:rPr>
        <w:t xml:space="preserve">Mazoyer, M., &amp; </w:t>
      </w:r>
      <w:proofErr w:type="spellStart"/>
      <w:r w:rsidRPr="00675924">
        <w:rPr>
          <w:rFonts w:ascii="Cambria" w:hAnsi="Cambria"/>
          <w:sz w:val="24"/>
          <w:szCs w:val="24"/>
        </w:rPr>
        <w:t>Roudart</w:t>
      </w:r>
      <w:proofErr w:type="spellEnd"/>
      <w:r w:rsidRPr="00675924">
        <w:rPr>
          <w:rFonts w:ascii="Cambria" w:hAnsi="Cambria"/>
          <w:sz w:val="24"/>
          <w:szCs w:val="24"/>
        </w:rPr>
        <w:t xml:space="preserve">, L. (2002). </w:t>
      </w:r>
      <w:r w:rsidRPr="00675924">
        <w:rPr>
          <w:rFonts w:ascii="Cambria" w:hAnsi="Cambria"/>
          <w:i/>
          <w:iCs/>
          <w:sz w:val="24"/>
          <w:szCs w:val="24"/>
        </w:rPr>
        <w:t>Histoire des agricultures du monde</w:t>
      </w:r>
      <w:r w:rsidRPr="00675924">
        <w:rPr>
          <w:rFonts w:ascii="Cambria" w:hAnsi="Cambria"/>
          <w:sz w:val="24"/>
          <w:szCs w:val="24"/>
        </w:rPr>
        <w:t>. Seuil.</w:t>
      </w:r>
    </w:p>
    <w:p w14:paraId="50280919" w14:textId="77777777" w:rsidR="00C93EFC" w:rsidRDefault="00C93EFC" w:rsidP="004D204B">
      <w:pPr>
        <w:numPr>
          <w:ilvl w:val="0"/>
          <w:numId w:val="4"/>
        </w:numPr>
        <w:tabs>
          <w:tab w:val="clear" w:pos="720"/>
          <w:tab w:val="num" w:pos="360"/>
        </w:tabs>
        <w:ind w:left="360"/>
        <w:rPr>
          <w:rFonts w:ascii="Cambria" w:hAnsi="Cambria"/>
          <w:sz w:val="24"/>
          <w:szCs w:val="24"/>
        </w:rPr>
      </w:pPr>
      <w:proofErr w:type="spellStart"/>
      <w:r w:rsidRPr="00675924">
        <w:rPr>
          <w:rFonts w:ascii="Cambria" w:hAnsi="Cambria"/>
          <w:sz w:val="24"/>
          <w:szCs w:val="24"/>
          <w:lang w:val="en-US"/>
        </w:rPr>
        <w:t>Mostafalou</w:t>
      </w:r>
      <w:proofErr w:type="spellEnd"/>
      <w:r w:rsidRPr="00675924">
        <w:rPr>
          <w:rFonts w:ascii="Cambria" w:hAnsi="Cambria"/>
          <w:sz w:val="24"/>
          <w:szCs w:val="24"/>
          <w:lang w:val="en-US"/>
        </w:rPr>
        <w:t xml:space="preserve">, S., &amp; Abdollahi, M. (2013). </w:t>
      </w:r>
      <w:r w:rsidRPr="00675924">
        <w:rPr>
          <w:rFonts w:ascii="Cambria" w:hAnsi="Cambria"/>
          <w:i/>
          <w:iCs/>
          <w:sz w:val="24"/>
          <w:szCs w:val="24"/>
          <w:lang w:val="en-US"/>
        </w:rPr>
        <w:t>Pesticides and human chronic diseases: Evidences, mechanisms, and perspectives</w:t>
      </w:r>
      <w:r w:rsidRPr="00675924">
        <w:rPr>
          <w:rFonts w:ascii="Cambria" w:hAnsi="Cambria"/>
          <w:sz w:val="24"/>
          <w:szCs w:val="24"/>
          <w:lang w:val="en-US"/>
        </w:rPr>
        <w:t xml:space="preserve">. </w:t>
      </w:r>
      <w:proofErr w:type="spellStart"/>
      <w:r w:rsidRPr="00675924">
        <w:rPr>
          <w:rFonts w:ascii="Cambria" w:hAnsi="Cambria"/>
          <w:sz w:val="24"/>
          <w:szCs w:val="24"/>
        </w:rPr>
        <w:t>Toxicology</w:t>
      </w:r>
      <w:proofErr w:type="spellEnd"/>
      <w:r w:rsidRPr="00675924">
        <w:rPr>
          <w:rFonts w:ascii="Cambria" w:hAnsi="Cambria"/>
          <w:sz w:val="24"/>
          <w:szCs w:val="24"/>
        </w:rPr>
        <w:t xml:space="preserve"> and </w:t>
      </w:r>
      <w:proofErr w:type="spellStart"/>
      <w:r w:rsidRPr="00675924">
        <w:rPr>
          <w:rFonts w:ascii="Cambria" w:hAnsi="Cambria"/>
          <w:sz w:val="24"/>
          <w:szCs w:val="24"/>
        </w:rPr>
        <w:t>Applied</w:t>
      </w:r>
      <w:proofErr w:type="spellEnd"/>
      <w:r w:rsidRPr="00675924">
        <w:rPr>
          <w:rFonts w:ascii="Cambria" w:hAnsi="Cambria"/>
          <w:sz w:val="24"/>
          <w:szCs w:val="24"/>
        </w:rPr>
        <w:t xml:space="preserve"> </w:t>
      </w:r>
      <w:proofErr w:type="spellStart"/>
      <w:r w:rsidRPr="00675924">
        <w:rPr>
          <w:rFonts w:ascii="Cambria" w:hAnsi="Cambria"/>
          <w:sz w:val="24"/>
          <w:szCs w:val="24"/>
        </w:rPr>
        <w:t>Pharmacology</w:t>
      </w:r>
      <w:proofErr w:type="spellEnd"/>
      <w:r w:rsidRPr="00675924">
        <w:rPr>
          <w:rFonts w:ascii="Cambria" w:hAnsi="Cambria"/>
          <w:sz w:val="24"/>
          <w:szCs w:val="24"/>
        </w:rPr>
        <w:t>, 268(2), 157–177.</w:t>
      </w:r>
    </w:p>
    <w:p w14:paraId="2AF1D6A8" w14:textId="77777777" w:rsidR="00C93EFC" w:rsidRPr="003874E5" w:rsidRDefault="00C93EFC" w:rsidP="003874E5">
      <w:pPr>
        <w:numPr>
          <w:ilvl w:val="0"/>
          <w:numId w:val="4"/>
        </w:numPr>
        <w:tabs>
          <w:tab w:val="clear" w:pos="720"/>
          <w:tab w:val="num" w:pos="360"/>
        </w:tabs>
        <w:ind w:left="360"/>
        <w:rPr>
          <w:rFonts w:ascii="Cambria" w:hAnsi="Cambria"/>
          <w:sz w:val="24"/>
          <w:szCs w:val="24"/>
          <w:lang w:val="en-US"/>
        </w:rPr>
      </w:pPr>
      <w:r w:rsidRPr="00EB5DEE">
        <w:rPr>
          <w:rFonts w:ascii="Cambria" w:hAnsi="Cambria"/>
          <w:sz w:val="24"/>
          <w:szCs w:val="24"/>
        </w:rPr>
        <w:t xml:space="preserve">Peretti-Watel, P. (2000). Sociologie du risque. </w:t>
      </w:r>
      <w:r w:rsidRPr="003874E5">
        <w:rPr>
          <w:rFonts w:ascii="Cambria" w:hAnsi="Cambria"/>
          <w:sz w:val="24"/>
          <w:szCs w:val="24"/>
          <w:lang w:val="en-US"/>
        </w:rPr>
        <w:t>Armand Colin.</w:t>
      </w:r>
    </w:p>
    <w:p w14:paraId="5BE08D8A" w14:textId="77777777" w:rsidR="00C93EFC" w:rsidRPr="00216147" w:rsidRDefault="00C93EFC" w:rsidP="00C93EFC">
      <w:pPr>
        <w:pStyle w:val="Paragraphedeliste"/>
        <w:numPr>
          <w:ilvl w:val="0"/>
          <w:numId w:val="4"/>
        </w:numPr>
        <w:tabs>
          <w:tab w:val="clear" w:pos="720"/>
          <w:tab w:val="num" w:pos="360"/>
        </w:tabs>
        <w:ind w:left="360"/>
        <w:rPr>
          <w:rFonts w:ascii="Cambria" w:hAnsi="Cambria"/>
          <w:sz w:val="24"/>
          <w:szCs w:val="24"/>
          <w:lang w:val="en-US"/>
        </w:rPr>
      </w:pPr>
      <w:r w:rsidRPr="00216147">
        <w:rPr>
          <w:rFonts w:ascii="Cambria" w:hAnsi="Cambria"/>
          <w:sz w:val="24"/>
          <w:szCs w:val="24"/>
          <w:lang w:val="en-US"/>
        </w:rPr>
        <w:t xml:space="preserve">Pretty, J. (2018). Sustainability and resilience in agriculture: The case of pesticides. </w:t>
      </w:r>
      <w:r w:rsidRPr="00216147">
        <w:rPr>
          <w:rFonts w:ascii="Cambria" w:hAnsi="Cambria"/>
          <w:i/>
          <w:iCs/>
          <w:sz w:val="24"/>
          <w:szCs w:val="24"/>
          <w:lang w:val="en-US"/>
        </w:rPr>
        <w:t>Sustainability, 10</w:t>
      </w:r>
      <w:r w:rsidRPr="00216147">
        <w:rPr>
          <w:rFonts w:ascii="Cambria" w:hAnsi="Cambria"/>
          <w:sz w:val="24"/>
          <w:szCs w:val="24"/>
          <w:lang w:val="en-US"/>
        </w:rPr>
        <w:t>(7), 2212. https://doi.org/10.3390/su10072212</w:t>
      </w:r>
    </w:p>
    <w:p w14:paraId="11E85E91" w14:textId="77777777" w:rsidR="00C93EFC" w:rsidRPr="00216147" w:rsidRDefault="00C93EFC" w:rsidP="00C93EFC">
      <w:pPr>
        <w:pStyle w:val="Paragraphedeliste"/>
        <w:numPr>
          <w:ilvl w:val="0"/>
          <w:numId w:val="4"/>
        </w:numPr>
        <w:tabs>
          <w:tab w:val="clear" w:pos="720"/>
          <w:tab w:val="num" w:pos="360"/>
        </w:tabs>
        <w:ind w:left="360"/>
        <w:rPr>
          <w:rFonts w:ascii="Cambria" w:hAnsi="Cambria"/>
          <w:sz w:val="24"/>
          <w:szCs w:val="24"/>
          <w:lang w:val="en-US"/>
        </w:rPr>
      </w:pPr>
      <w:r w:rsidRPr="00216147">
        <w:rPr>
          <w:rFonts w:ascii="Cambria" w:hAnsi="Cambria"/>
          <w:sz w:val="24"/>
          <w:szCs w:val="24"/>
          <w:lang w:val="en-US"/>
        </w:rPr>
        <w:t xml:space="preserve">Renn, O. (1992). </w:t>
      </w:r>
      <w:r w:rsidRPr="00C93EFC">
        <w:rPr>
          <w:rFonts w:ascii="Cambria" w:hAnsi="Cambria"/>
          <w:i/>
          <w:iCs/>
          <w:sz w:val="24"/>
          <w:szCs w:val="24"/>
          <w:lang w:val="en-US"/>
        </w:rPr>
        <w:t>Concepts of risk: A classification</w:t>
      </w:r>
      <w:r w:rsidRPr="00216147">
        <w:rPr>
          <w:rFonts w:ascii="Cambria" w:hAnsi="Cambria"/>
          <w:sz w:val="24"/>
          <w:szCs w:val="24"/>
          <w:lang w:val="en-US"/>
        </w:rPr>
        <w:t xml:space="preserve">. In S. Krimsky &amp; D. Golding (Eds.), </w:t>
      </w:r>
      <w:r w:rsidRPr="00216147">
        <w:rPr>
          <w:rFonts w:ascii="Cambria" w:hAnsi="Cambria"/>
          <w:i/>
          <w:iCs/>
          <w:sz w:val="24"/>
          <w:szCs w:val="24"/>
          <w:lang w:val="en-US"/>
        </w:rPr>
        <w:t>Social theories of risk</w:t>
      </w:r>
      <w:r w:rsidRPr="00216147">
        <w:rPr>
          <w:rFonts w:ascii="Cambria" w:hAnsi="Cambria"/>
          <w:sz w:val="24"/>
          <w:szCs w:val="24"/>
          <w:lang w:val="en-US"/>
        </w:rPr>
        <w:t xml:space="preserve"> (pp. 53–79). Praeger.</w:t>
      </w:r>
    </w:p>
    <w:p w14:paraId="1A80A550" w14:textId="77777777" w:rsidR="00C93EFC" w:rsidRPr="00216147" w:rsidRDefault="00C93EFC" w:rsidP="00C93EFC">
      <w:pPr>
        <w:pStyle w:val="Paragraphedeliste"/>
        <w:numPr>
          <w:ilvl w:val="0"/>
          <w:numId w:val="4"/>
        </w:numPr>
        <w:tabs>
          <w:tab w:val="clear" w:pos="720"/>
          <w:tab w:val="num" w:pos="360"/>
        </w:tabs>
        <w:ind w:left="360"/>
        <w:rPr>
          <w:rFonts w:ascii="Cambria" w:hAnsi="Cambria"/>
          <w:sz w:val="24"/>
          <w:szCs w:val="24"/>
          <w:lang w:val="en-US"/>
        </w:rPr>
      </w:pPr>
      <w:r w:rsidRPr="00216147">
        <w:rPr>
          <w:rFonts w:ascii="Cambria" w:hAnsi="Cambria"/>
          <w:sz w:val="24"/>
          <w:szCs w:val="24"/>
          <w:lang w:val="en-US"/>
        </w:rPr>
        <w:t xml:space="preserve">Renn, O. (1998). </w:t>
      </w:r>
      <w:r w:rsidRPr="00C93EFC">
        <w:rPr>
          <w:rFonts w:ascii="Cambria" w:hAnsi="Cambria"/>
          <w:i/>
          <w:iCs/>
          <w:sz w:val="24"/>
          <w:szCs w:val="24"/>
          <w:lang w:val="en-US"/>
        </w:rPr>
        <w:t>The role of risk perception for risk management</w:t>
      </w:r>
      <w:r w:rsidRPr="00216147">
        <w:rPr>
          <w:rFonts w:ascii="Cambria" w:hAnsi="Cambria"/>
          <w:sz w:val="24"/>
          <w:szCs w:val="24"/>
          <w:lang w:val="en-US"/>
        </w:rPr>
        <w:t xml:space="preserve">. </w:t>
      </w:r>
      <w:r w:rsidRPr="00C93EFC">
        <w:rPr>
          <w:rFonts w:ascii="Cambria" w:hAnsi="Cambria"/>
          <w:sz w:val="24"/>
          <w:szCs w:val="24"/>
          <w:lang w:val="en-US"/>
        </w:rPr>
        <w:t>Reliability Engineering &amp; System Safety, 59</w:t>
      </w:r>
      <w:r w:rsidRPr="00216147">
        <w:rPr>
          <w:rFonts w:ascii="Cambria" w:hAnsi="Cambria"/>
          <w:sz w:val="24"/>
          <w:szCs w:val="24"/>
          <w:lang w:val="en-US"/>
        </w:rPr>
        <w:t>(1), 49–62.</w:t>
      </w:r>
    </w:p>
    <w:p w14:paraId="033F6376" w14:textId="77777777" w:rsidR="00C93EFC" w:rsidRPr="00216147" w:rsidRDefault="00C93EFC" w:rsidP="00C93EFC">
      <w:pPr>
        <w:pStyle w:val="Paragraphedeliste"/>
        <w:numPr>
          <w:ilvl w:val="0"/>
          <w:numId w:val="4"/>
        </w:numPr>
        <w:tabs>
          <w:tab w:val="clear" w:pos="720"/>
          <w:tab w:val="num" w:pos="360"/>
        </w:tabs>
        <w:ind w:left="360"/>
        <w:rPr>
          <w:rFonts w:ascii="Cambria" w:hAnsi="Cambria"/>
          <w:sz w:val="24"/>
          <w:szCs w:val="24"/>
          <w:lang w:val="en-US"/>
        </w:rPr>
      </w:pPr>
      <w:r w:rsidRPr="00216147">
        <w:rPr>
          <w:rFonts w:ascii="Cambria" w:hAnsi="Cambria"/>
          <w:sz w:val="24"/>
          <w:szCs w:val="24"/>
          <w:lang w:val="en-US"/>
        </w:rPr>
        <w:t xml:space="preserve">Renn, O. (2008). </w:t>
      </w:r>
      <w:r w:rsidRPr="00216147">
        <w:rPr>
          <w:rFonts w:ascii="Cambria" w:hAnsi="Cambria"/>
          <w:i/>
          <w:iCs/>
          <w:sz w:val="24"/>
          <w:szCs w:val="24"/>
          <w:lang w:val="en-US"/>
        </w:rPr>
        <w:t>Risk governance: Coping with uncertainty in a complex world</w:t>
      </w:r>
      <w:r w:rsidRPr="00216147">
        <w:rPr>
          <w:rFonts w:ascii="Cambria" w:hAnsi="Cambria"/>
          <w:sz w:val="24"/>
          <w:szCs w:val="24"/>
          <w:lang w:val="en-US"/>
        </w:rPr>
        <w:t>. Earthscan.</w:t>
      </w:r>
    </w:p>
    <w:p w14:paraId="31D756CC" w14:textId="77777777" w:rsidR="00C93EFC" w:rsidRPr="003874E5" w:rsidRDefault="00C93EFC" w:rsidP="003874E5">
      <w:pPr>
        <w:numPr>
          <w:ilvl w:val="0"/>
          <w:numId w:val="4"/>
        </w:numPr>
        <w:tabs>
          <w:tab w:val="clear" w:pos="720"/>
          <w:tab w:val="num" w:pos="360"/>
        </w:tabs>
        <w:ind w:left="360"/>
        <w:rPr>
          <w:rFonts w:ascii="Cambria" w:hAnsi="Cambria"/>
          <w:sz w:val="24"/>
          <w:szCs w:val="24"/>
          <w:lang w:val="en-US"/>
        </w:rPr>
      </w:pPr>
      <w:r w:rsidRPr="009210A8">
        <w:rPr>
          <w:rFonts w:ascii="Cambria" w:hAnsi="Cambria"/>
          <w:sz w:val="24"/>
          <w:szCs w:val="24"/>
          <w:lang w:val="en-US"/>
        </w:rPr>
        <w:t xml:space="preserve">Renn, O., &amp; Klinke, A. (2013). </w:t>
      </w:r>
      <w:r w:rsidRPr="00C93EFC">
        <w:rPr>
          <w:rFonts w:ascii="Cambria" w:hAnsi="Cambria"/>
          <w:i/>
          <w:iCs/>
          <w:sz w:val="24"/>
          <w:szCs w:val="24"/>
          <w:lang w:val="en-US"/>
        </w:rPr>
        <w:t>A framework of adaptive risk governance for urban planning</w:t>
      </w:r>
      <w:r w:rsidRPr="009210A8">
        <w:rPr>
          <w:rFonts w:ascii="Cambria" w:hAnsi="Cambria"/>
          <w:sz w:val="24"/>
          <w:szCs w:val="24"/>
          <w:lang w:val="en-US"/>
        </w:rPr>
        <w:t xml:space="preserve">. </w:t>
      </w:r>
      <w:r w:rsidRPr="003874E5">
        <w:rPr>
          <w:rFonts w:ascii="Cambria" w:hAnsi="Cambria"/>
          <w:sz w:val="24"/>
          <w:szCs w:val="24"/>
          <w:lang w:val="en-US"/>
        </w:rPr>
        <w:t>Sustainability, 5(9), 2036–2059.</w:t>
      </w:r>
    </w:p>
    <w:p w14:paraId="302DB1B0" w14:textId="77777777" w:rsidR="00C93EFC" w:rsidRPr="00675924" w:rsidRDefault="00C93EFC" w:rsidP="004D204B">
      <w:pPr>
        <w:numPr>
          <w:ilvl w:val="0"/>
          <w:numId w:val="4"/>
        </w:numPr>
        <w:tabs>
          <w:tab w:val="clear" w:pos="720"/>
          <w:tab w:val="num" w:pos="360"/>
        </w:tabs>
        <w:ind w:left="360"/>
        <w:rPr>
          <w:rFonts w:ascii="Cambria" w:hAnsi="Cambria"/>
          <w:sz w:val="24"/>
          <w:szCs w:val="24"/>
        </w:rPr>
      </w:pPr>
      <w:r>
        <w:rPr>
          <w:rFonts w:ascii="Cambria" w:hAnsi="Cambria"/>
          <w:sz w:val="24"/>
          <w:szCs w:val="24"/>
        </w:rPr>
        <w:t xml:space="preserve">Schiffers, B. (2012). </w:t>
      </w:r>
      <w:r w:rsidRPr="00C93EFC">
        <w:rPr>
          <w:rFonts w:ascii="Cambria" w:hAnsi="Cambria"/>
          <w:i/>
          <w:iCs/>
          <w:sz w:val="24"/>
          <w:szCs w:val="24"/>
        </w:rPr>
        <w:t>Les pesticides ou le mythe de Prométhée revisité</w:t>
      </w:r>
      <w:r>
        <w:rPr>
          <w:rFonts w:ascii="Cambria" w:hAnsi="Cambria"/>
          <w:sz w:val="24"/>
          <w:szCs w:val="24"/>
        </w:rPr>
        <w:t>. Discours de la rentrée académique 2012. Gembloux Agro-Bio Tech, UIEGE. 18 p.</w:t>
      </w:r>
    </w:p>
    <w:p w14:paraId="6A2B096D" w14:textId="77777777" w:rsidR="00C93EFC" w:rsidRPr="00216147" w:rsidRDefault="00C93EFC" w:rsidP="00C93EFC">
      <w:pPr>
        <w:pStyle w:val="Paragraphedeliste"/>
        <w:numPr>
          <w:ilvl w:val="0"/>
          <w:numId w:val="4"/>
        </w:numPr>
        <w:tabs>
          <w:tab w:val="clear" w:pos="720"/>
          <w:tab w:val="num" w:pos="360"/>
        </w:tabs>
        <w:ind w:left="360"/>
        <w:rPr>
          <w:rFonts w:ascii="Cambria" w:hAnsi="Cambria"/>
          <w:sz w:val="24"/>
          <w:szCs w:val="24"/>
          <w:lang w:val="en-US"/>
        </w:rPr>
      </w:pPr>
      <w:r w:rsidRPr="00216147">
        <w:rPr>
          <w:rFonts w:ascii="Cambria" w:hAnsi="Cambria"/>
          <w:sz w:val="24"/>
          <w:szCs w:val="24"/>
          <w:lang w:val="en-US"/>
        </w:rPr>
        <w:t xml:space="preserve">Schlosberg, D. (2019). </w:t>
      </w:r>
      <w:r w:rsidRPr="00216147">
        <w:rPr>
          <w:rFonts w:ascii="Cambria" w:hAnsi="Cambria"/>
          <w:i/>
          <w:iCs/>
          <w:sz w:val="24"/>
          <w:szCs w:val="24"/>
          <w:lang w:val="en-US"/>
        </w:rPr>
        <w:t>Defining environmental justice: Theories, movements, and nature</w:t>
      </w:r>
      <w:r w:rsidRPr="00216147">
        <w:rPr>
          <w:rFonts w:ascii="Cambria" w:hAnsi="Cambria"/>
          <w:sz w:val="24"/>
          <w:szCs w:val="24"/>
          <w:lang w:val="en-US"/>
        </w:rPr>
        <w:t>. Oxford University Press.</w:t>
      </w:r>
    </w:p>
    <w:p w14:paraId="101596E8" w14:textId="77777777" w:rsidR="00C93EFC" w:rsidRPr="003874E5" w:rsidRDefault="00C93EFC" w:rsidP="003874E5">
      <w:pPr>
        <w:numPr>
          <w:ilvl w:val="0"/>
          <w:numId w:val="4"/>
        </w:numPr>
        <w:tabs>
          <w:tab w:val="clear" w:pos="720"/>
          <w:tab w:val="num" w:pos="360"/>
        </w:tabs>
        <w:ind w:left="360"/>
        <w:rPr>
          <w:rFonts w:ascii="Cambria" w:hAnsi="Cambria"/>
          <w:sz w:val="24"/>
          <w:szCs w:val="24"/>
          <w:lang w:val="en-US"/>
        </w:rPr>
      </w:pPr>
      <w:r w:rsidRPr="009210A8">
        <w:rPr>
          <w:rFonts w:ascii="Cambria" w:hAnsi="Cambria"/>
          <w:sz w:val="24"/>
          <w:szCs w:val="24"/>
          <w:lang w:val="en-US"/>
        </w:rPr>
        <w:t xml:space="preserve">Slovic, P. (1987). </w:t>
      </w:r>
      <w:r w:rsidRPr="00455F5A">
        <w:rPr>
          <w:rFonts w:ascii="Cambria" w:hAnsi="Cambria"/>
          <w:i/>
          <w:iCs/>
          <w:sz w:val="24"/>
          <w:szCs w:val="24"/>
          <w:lang w:val="en-US"/>
        </w:rPr>
        <w:t>Perception of Risk</w:t>
      </w:r>
      <w:r w:rsidRPr="009210A8">
        <w:rPr>
          <w:rFonts w:ascii="Cambria" w:hAnsi="Cambria"/>
          <w:sz w:val="24"/>
          <w:szCs w:val="24"/>
          <w:lang w:val="en-US"/>
        </w:rPr>
        <w:t xml:space="preserve">. </w:t>
      </w:r>
      <w:r w:rsidRPr="003874E5">
        <w:rPr>
          <w:rFonts w:ascii="Cambria" w:hAnsi="Cambria"/>
          <w:sz w:val="24"/>
          <w:szCs w:val="24"/>
          <w:lang w:val="en-US"/>
        </w:rPr>
        <w:t>Science, 236(4799), 280–285.</w:t>
      </w:r>
    </w:p>
    <w:p w14:paraId="03B9EE85" w14:textId="77777777" w:rsidR="00C93EFC" w:rsidRPr="00216147" w:rsidRDefault="00C93EFC" w:rsidP="00C93EFC">
      <w:pPr>
        <w:pStyle w:val="Paragraphedeliste"/>
        <w:numPr>
          <w:ilvl w:val="0"/>
          <w:numId w:val="4"/>
        </w:numPr>
        <w:tabs>
          <w:tab w:val="clear" w:pos="720"/>
          <w:tab w:val="num" w:pos="360"/>
        </w:tabs>
        <w:ind w:left="360"/>
        <w:rPr>
          <w:rFonts w:ascii="Cambria" w:hAnsi="Cambria"/>
          <w:sz w:val="24"/>
          <w:szCs w:val="24"/>
          <w:lang w:val="en-US"/>
        </w:rPr>
      </w:pPr>
      <w:r w:rsidRPr="00216147">
        <w:rPr>
          <w:rFonts w:ascii="Cambria" w:hAnsi="Cambria"/>
          <w:sz w:val="24"/>
          <w:szCs w:val="24"/>
          <w:lang w:val="en-US"/>
        </w:rPr>
        <w:t xml:space="preserve">Slovic, P. (2000). </w:t>
      </w:r>
      <w:r w:rsidRPr="00216147">
        <w:rPr>
          <w:rFonts w:ascii="Cambria" w:hAnsi="Cambria"/>
          <w:i/>
          <w:iCs/>
          <w:sz w:val="24"/>
          <w:szCs w:val="24"/>
          <w:lang w:val="en-US"/>
        </w:rPr>
        <w:t>The perception of risk</w:t>
      </w:r>
      <w:r w:rsidRPr="00216147">
        <w:rPr>
          <w:rFonts w:ascii="Cambria" w:hAnsi="Cambria"/>
          <w:sz w:val="24"/>
          <w:szCs w:val="24"/>
          <w:lang w:val="en-US"/>
        </w:rPr>
        <w:t>. Earthscan.</w:t>
      </w:r>
    </w:p>
    <w:p w14:paraId="0F001F10" w14:textId="77777777" w:rsidR="00C93EFC" w:rsidRDefault="00C93EFC" w:rsidP="004D204B">
      <w:pPr>
        <w:numPr>
          <w:ilvl w:val="0"/>
          <w:numId w:val="4"/>
        </w:numPr>
        <w:tabs>
          <w:tab w:val="clear" w:pos="720"/>
          <w:tab w:val="num" w:pos="360"/>
        </w:tabs>
        <w:ind w:left="360"/>
        <w:rPr>
          <w:rFonts w:ascii="Cambria" w:hAnsi="Cambria"/>
          <w:sz w:val="24"/>
          <w:szCs w:val="24"/>
        </w:rPr>
      </w:pPr>
      <w:r w:rsidRPr="00675924">
        <w:rPr>
          <w:rFonts w:ascii="Cambria" w:hAnsi="Cambria"/>
          <w:sz w:val="24"/>
          <w:szCs w:val="24"/>
          <w:lang w:val="en-US"/>
        </w:rPr>
        <w:t xml:space="preserve">Stirling, A. (2007). </w:t>
      </w:r>
      <w:r w:rsidRPr="00675924">
        <w:rPr>
          <w:rFonts w:ascii="Cambria" w:hAnsi="Cambria"/>
          <w:i/>
          <w:iCs/>
          <w:sz w:val="24"/>
          <w:szCs w:val="24"/>
          <w:lang w:val="en-US"/>
        </w:rPr>
        <w:t>Risk, precaution and science: Towards a more constructive policy debate</w:t>
      </w:r>
      <w:r w:rsidRPr="00675924">
        <w:rPr>
          <w:rFonts w:ascii="Cambria" w:hAnsi="Cambria"/>
          <w:sz w:val="24"/>
          <w:szCs w:val="24"/>
          <w:lang w:val="en-US"/>
        </w:rPr>
        <w:t xml:space="preserve">. </w:t>
      </w:r>
      <w:r w:rsidRPr="00675924">
        <w:rPr>
          <w:rFonts w:ascii="Cambria" w:hAnsi="Cambria"/>
          <w:sz w:val="24"/>
          <w:szCs w:val="24"/>
        </w:rPr>
        <w:t>EMBO Reports, 8(4), 309–315.</w:t>
      </w:r>
    </w:p>
    <w:p w14:paraId="13FFAE3D" w14:textId="77777777" w:rsidR="00C93EFC" w:rsidRDefault="00C93EFC" w:rsidP="004D204B">
      <w:pPr>
        <w:numPr>
          <w:ilvl w:val="0"/>
          <w:numId w:val="4"/>
        </w:numPr>
        <w:tabs>
          <w:tab w:val="clear" w:pos="720"/>
          <w:tab w:val="num" w:pos="360"/>
        </w:tabs>
        <w:ind w:left="360"/>
        <w:rPr>
          <w:rFonts w:ascii="Cambria" w:hAnsi="Cambria"/>
          <w:sz w:val="24"/>
          <w:szCs w:val="24"/>
        </w:rPr>
      </w:pPr>
    </w:p>
    <w:p w14:paraId="7ACB55B4" w14:textId="77777777" w:rsidR="00C93EFC" w:rsidRPr="00675924" w:rsidRDefault="00C93EFC" w:rsidP="00C93EFC">
      <w:pPr>
        <w:rPr>
          <w:rFonts w:ascii="Cambria" w:hAnsi="Cambria"/>
          <w:sz w:val="24"/>
          <w:szCs w:val="24"/>
        </w:rPr>
      </w:pPr>
    </w:p>
    <w:p w14:paraId="68EE3468" w14:textId="77777777" w:rsidR="003874E5" w:rsidRPr="003874E5" w:rsidRDefault="003874E5" w:rsidP="003874E5">
      <w:pPr>
        <w:ind w:left="360"/>
        <w:rPr>
          <w:rFonts w:ascii="Cambria" w:hAnsi="Cambria"/>
          <w:sz w:val="24"/>
          <w:szCs w:val="24"/>
          <w:lang w:val="en-US"/>
        </w:rPr>
      </w:pPr>
    </w:p>
    <w:p w14:paraId="48DEDDF5" w14:textId="21DC3E8B" w:rsidR="004D69FE" w:rsidRPr="00C64826" w:rsidRDefault="004D69FE" w:rsidP="004D69FE">
      <w:pPr>
        <w:rPr>
          <w:rFonts w:ascii="Cambria" w:hAnsi="Cambria"/>
          <w:sz w:val="24"/>
          <w:szCs w:val="24"/>
        </w:rPr>
      </w:pPr>
    </w:p>
    <w:sectPr w:rsidR="004D69FE" w:rsidRPr="00C6482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709B5" w14:textId="77777777" w:rsidR="009E53D6" w:rsidRDefault="009E53D6" w:rsidP="00500870">
      <w:r>
        <w:separator/>
      </w:r>
    </w:p>
  </w:endnote>
  <w:endnote w:type="continuationSeparator" w:id="0">
    <w:p w14:paraId="7C69ED4D" w14:textId="77777777" w:rsidR="009E53D6" w:rsidRDefault="009E53D6" w:rsidP="00500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4790844"/>
      <w:docPartObj>
        <w:docPartGallery w:val="Page Numbers (Bottom of Page)"/>
        <w:docPartUnique/>
      </w:docPartObj>
    </w:sdtPr>
    <w:sdtContent>
      <w:p w14:paraId="3578DACF" w14:textId="56475476" w:rsidR="00B86E5E" w:rsidRDefault="00B86E5E">
        <w:pPr>
          <w:pStyle w:val="Pieddepage"/>
          <w:jc w:val="right"/>
        </w:pPr>
        <w:r>
          <w:fldChar w:fldCharType="begin"/>
        </w:r>
        <w:r>
          <w:instrText>PAGE   \* MERGEFORMAT</w:instrText>
        </w:r>
        <w:r>
          <w:fldChar w:fldCharType="separate"/>
        </w:r>
        <w:r>
          <w:rPr>
            <w:lang w:val="fr-FR"/>
          </w:rPr>
          <w:t>2</w:t>
        </w:r>
        <w:r>
          <w:fldChar w:fldCharType="end"/>
        </w:r>
      </w:p>
    </w:sdtContent>
  </w:sdt>
  <w:p w14:paraId="7032A217" w14:textId="77777777" w:rsidR="00B86E5E" w:rsidRDefault="00B86E5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71B75" w14:textId="77777777" w:rsidR="009E53D6" w:rsidRDefault="009E53D6" w:rsidP="00500870">
      <w:r>
        <w:separator/>
      </w:r>
    </w:p>
  </w:footnote>
  <w:footnote w:type="continuationSeparator" w:id="0">
    <w:p w14:paraId="601AA728" w14:textId="77777777" w:rsidR="009E53D6" w:rsidRDefault="009E53D6" w:rsidP="00500870">
      <w:r>
        <w:continuationSeparator/>
      </w:r>
    </w:p>
  </w:footnote>
  <w:footnote w:id="1">
    <w:p w14:paraId="7A59E8A8" w14:textId="6480B6EE" w:rsidR="009C7495" w:rsidRDefault="009C7495" w:rsidP="009C7495">
      <w:pPr>
        <w:pStyle w:val="Notedebasdepage"/>
        <w:ind w:left="284" w:hanging="284"/>
        <w:jc w:val="both"/>
      </w:pPr>
      <w:r>
        <w:rPr>
          <w:rStyle w:val="Appelnotedebasdep"/>
        </w:rPr>
        <w:footnoteRef/>
      </w:r>
      <w:r>
        <w:t xml:space="preserve"> </w:t>
      </w:r>
      <w:r>
        <w:tab/>
      </w:r>
      <w:r w:rsidRPr="00111D38">
        <w:rPr>
          <w:rFonts w:ascii="Cambria" w:hAnsi="Cambria"/>
        </w:rPr>
        <w:t>Premier ouvrage sur le scandale des pesticides, Printemps silencieux a entraîné l’interdiction du DDT</w:t>
      </w:r>
      <w:r>
        <w:rPr>
          <w:rFonts w:ascii="Cambria" w:hAnsi="Cambria"/>
        </w:rPr>
        <w:t>, un insecticide organo-chloré,</w:t>
      </w:r>
      <w:r w:rsidRPr="00111D38">
        <w:rPr>
          <w:rFonts w:ascii="Cambria" w:hAnsi="Cambria"/>
        </w:rPr>
        <w:t xml:space="preserve"> aux États-Unis. Cette victoire historique d’un individu contre les lobbies de l’industrie chimique a déclenché au début des années 1960 la naissance du mouvement écologiste.</w:t>
      </w:r>
      <w:r>
        <w:rPr>
          <w:rFonts w:ascii="Cambria" w:hAnsi="Cambria"/>
        </w:rPr>
        <w:t xml:space="preserve"> En Belgique, il faut attendre 1974 pour que le DDT soit interdit.</w:t>
      </w:r>
    </w:p>
  </w:footnote>
  <w:footnote w:id="2">
    <w:p w14:paraId="43FA0DDC" w14:textId="32F4BB27" w:rsidR="00487F8C" w:rsidRPr="00487F8C" w:rsidRDefault="00487F8C" w:rsidP="00487F8C">
      <w:pPr>
        <w:pStyle w:val="Notedebasdepage"/>
        <w:ind w:left="284" w:hanging="284"/>
        <w:jc w:val="both"/>
        <w:rPr>
          <w:rFonts w:ascii="Cambria" w:hAnsi="Cambria"/>
        </w:rPr>
      </w:pPr>
      <w:r w:rsidRPr="00487F8C">
        <w:rPr>
          <w:rStyle w:val="Appelnotedebasdep"/>
          <w:rFonts w:ascii="Cambria" w:hAnsi="Cambria"/>
        </w:rPr>
        <w:footnoteRef/>
      </w:r>
      <w:r w:rsidRPr="00487F8C">
        <w:rPr>
          <w:rFonts w:ascii="Cambria" w:hAnsi="Cambria"/>
        </w:rPr>
        <w:t xml:space="preserve"> </w:t>
      </w:r>
      <w:r>
        <w:rPr>
          <w:rFonts w:ascii="Cambria" w:hAnsi="Cambria"/>
        </w:rPr>
        <w:tab/>
        <w:t xml:space="preserve">Le </w:t>
      </w:r>
      <w:r w:rsidRPr="00487F8C">
        <w:rPr>
          <w:rFonts w:ascii="Cambria" w:hAnsi="Cambria"/>
        </w:rPr>
        <w:t xml:space="preserve">cadre épistémique </w:t>
      </w:r>
      <w:r w:rsidR="00982101" w:rsidRPr="00982101">
        <w:rPr>
          <w:rFonts w:ascii="Cambria" w:hAnsi="Cambria"/>
        </w:rPr>
        <w:t xml:space="preserve">désigne l’ensemble des concepts, méthodes et présupposés qui orientent la production du savoir scientifique. Dans les sciences du risque, il repose sur une approche quantitative et linéaire (dose-effet, seuils, causalité directe), qui peine à intégrer la complexité réelle des expositions (effets combinés, faibles doses, </w:t>
      </w:r>
      <w:r w:rsidR="00982101">
        <w:rPr>
          <w:rFonts w:ascii="Cambria" w:hAnsi="Cambria"/>
        </w:rPr>
        <w:t xml:space="preserve">influence des </w:t>
      </w:r>
      <w:r w:rsidR="00982101" w:rsidRPr="00982101">
        <w:rPr>
          <w:rFonts w:ascii="Cambria" w:hAnsi="Cambria"/>
        </w:rPr>
        <w:t>facteurs sociaux ou environnementaux).</w:t>
      </w:r>
    </w:p>
  </w:footnote>
  <w:footnote w:id="3">
    <w:p w14:paraId="34B0441C" w14:textId="58A752B3" w:rsidR="005E1206" w:rsidRPr="005E1206" w:rsidRDefault="005E1206" w:rsidP="00982101">
      <w:pPr>
        <w:pStyle w:val="Notedebasdepage"/>
        <w:spacing w:before="40"/>
        <w:ind w:left="284" w:hanging="284"/>
        <w:jc w:val="both"/>
        <w:rPr>
          <w:rFonts w:ascii="Cambria" w:hAnsi="Cambria"/>
        </w:rPr>
      </w:pPr>
      <w:r w:rsidRPr="005E1206">
        <w:rPr>
          <w:rStyle w:val="Appelnotedebasdep"/>
          <w:rFonts w:ascii="Cambria" w:hAnsi="Cambria"/>
        </w:rPr>
        <w:footnoteRef/>
      </w:r>
      <w:r w:rsidRPr="005E1206">
        <w:rPr>
          <w:rFonts w:ascii="Cambria" w:hAnsi="Cambria"/>
        </w:rPr>
        <w:t xml:space="preserve"> </w:t>
      </w:r>
      <w:r>
        <w:rPr>
          <w:rFonts w:ascii="Cambria" w:hAnsi="Cambria"/>
        </w:rPr>
        <w:tab/>
      </w:r>
      <w:r w:rsidRPr="005E1206">
        <w:rPr>
          <w:rFonts w:ascii="Cambria" w:hAnsi="Cambria"/>
        </w:rPr>
        <w:t>Les "nouveaux OGM", ou Nouvelles Techniques Génomiques (NTG), sont des organismes dont le génome a été modifié avec précision, souvent par des ciseaux moléculaires comme CRISPR-Cas9, mais sans ajout d'ADN étranger. Ils visent à améliorer la résistance des plantes (sécheresse, maladies) et leur rendement, de manière plus rapide que les méthodes conventionnelles. Contrairement aux OGM classiques (transgéniques), les NTG modifient l'ADN de l'espèce elle-même, ce qui rend la discussion sur leur classification et leur réglementation très vive en Europe.</w:t>
      </w:r>
    </w:p>
  </w:footnote>
  <w:footnote w:id="4">
    <w:p w14:paraId="6E216396" w14:textId="54276877" w:rsidR="00500870" w:rsidRPr="00500870" w:rsidRDefault="00500870" w:rsidP="00500870">
      <w:pPr>
        <w:pStyle w:val="Notedebasdepage"/>
        <w:ind w:left="284" w:hanging="284"/>
        <w:jc w:val="both"/>
        <w:rPr>
          <w:rFonts w:ascii="Cambria" w:hAnsi="Cambria"/>
        </w:rPr>
      </w:pPr>
      <w:r w:rsidRPr="00500870">
        <w:rPr>
          <w:rStyle w:val="Appelnotedebasdep"/>
          <w:rFonts w:ascii="Cambria" w:hAnsi="Cambria"/>
        </w:rPr>
        <w:footnoteRef/>
      </w:r>
      <w:r w:rsidRPr="00500870">
        <w:rPr>
          <w:rFonts w:ascii="Cambria" w:hAnsi="Cambria"/>
        </w:rPr>
        <w:t xml:space="preserve"> </w:t>
      </w:r>
      <w:r>
        <w:rPr>
          <w:rFonts w:ascii="Cambria" w:hAnsi="Cambria"/>
        </w:rPr>
        <w:tab/>
      </w:r>
      <w:r w:rsidRPr="00500870">
        <w:rPr>
          <w:rFonts w:ascii="Cambria" w:hAnsi="Cambria"/>
        </w:rPr>
        <w:t xml:space="preserve">En allemand </w:t>
      </w:r>
      <w:r w:rsidRPr="00500870">
        <w:rPr>
          <w:rFonts w:ascii="Cambria" w:hAnsi="Cambria"/>
          <w:i/>
          <w:iCs/>
        </w:rPr>
        <w:t xml:space="preserve">Das </w:t>
      </w:r>
      <w:proofErr w:type="spellStart"/>
      <w:r w:rsidRPr="00500870">
        <w:rPr>
          <w:rFonts w:ascii="Cambria" w:hAnsi="Cambria"/>
          <w:i/>
          <w:iCs/>
        </w:rPr>
        <w:t>Prinzip</w:t>
      </w:r>
      <w:proofErr w:type="spellEnd"/>
      <w:r w:rsidRPr="00500870">
        <w:rPr>
          <w:rFonts w:ascii="Cambria" w:hAnsi="Cambria"/>
          <w:i/>
          <w:iCs/>
        </w:rPr>
        <w:t xml:space="preserve"> </w:t>
      </w:r>
      <w:proofErr w:type="spellStart"/>
      <w:r w:rsidRPr="00500870">
        <w:rPr>
          <w:rFonts w:ascii="Cambria" w:hAnsi="Cambria"/>
          <w:i/>
          <w:iCs/>
        </w:rPr>
        <w:t>Verantwortung</w:t>
      </w:r>
      <w:proofErr w:type="spellEnd"/>
      <w:r w:rsidRPr="00500870">
        <w:rPr>
          <w:rFonts w:ascii="Cambria" w:hAnsi="Cambria"/>
        </w:rPr>
        <w:t xml:space="preserve"> est l'ouvrage le plus connu de Hans Jonas (1979).</w:t>
      </w:r>
      <w:r w:rsidR="007D4BDD">
        <w:rPr>
          <w:rFonts w:ascii="Cambria" w:hAnsi="Cambria"/>
        </w:rPr>
        <w:t xml:space="preserve"> Il </w:t>
      </w:r>
      <w:r w:rsidRPr="00500870">
        <w:rPr>
          <w:rFonts w:ascii="Cambria" w:hAnsi="Cambria"/>
        </w:rPr>
        <w:t xml:space="preserve">propose une reformulation de l'éthique autour de l'idée centrale de responsabilité sous ses différents aspects, naturelle et contractuelle. Le </w:t>
      </w:r>
      <w:r w:rsidRPr="007D4BDD">
        <w:rPr>
          <w:rFonts w:ascii="Cambria" w:hAnsi="Cambria"/>
          <w:i/>
          <w:iCs/>
        </w:rPr>
        <w:t xml:space="preserve">Principe responsabilité </w:t>
      </w:r>
      <w:r w:rsidRPr="00500870">
        <w:rPr>
          <w:rFonts w:ascii="Cambria" w:hAnsi="Cambria"/>
        </w:rPr>
        <w:t>incite à réfléchir aux enjeux qui entourent la préservation de l’environnement et, par-là, de l’humanité.</w:t>
      </w:r>
    </w:p>
  </w:footnote>
  <w:footnote w:id="5">
    <w:p w14:paraId="7A7CB49D" w14:textId="077AB6FE" w:rsidR="00C93EFC" w:rsidRPr="00FA54CC" w:rsidRDefault="00C93EFC" w:rsidP="00C93EFC">
      <w:pPr>
        <w:pStyle w:val="Notedebasdepage"/>
        <w:ind w:left="284" w:hanging="284"/>
        <w:jc w:val="both"/>
        <w:rPr>
          <w:rFonts w:ascii="Cambria" w:hAnsi="Cambria"/>
        </w:rPr>
      </w:pPr>
      <w:r>
        <w:rPr>
          <w:rStyle w:val="Appelnotedebasdep"/>
        </w:rPr>
        <w:footnoteRef/>
      </w:r>
      <w:r>
        <w:t xml:space="preserve"> </w:t>
      </w:r>
      <w:r>
        <w:tab/>
      </w:r>
      <w:r w:rsidRPr="00FA54CC">
        <w:rPr>
          <w:rFonts w:ascii="Cambria" w:hAnsi="Cambria"/>
        </w:rPr>
        <w:t xml:space="preserve">Explosion en 1984 à Bhopal (Inde) d'une usine de la firme américaine Union </w:t>
      </w:r>
      <w:proofErr w:type="spellStart"/>
      <w:r w:rsidRPr="00FA54CC">
        <w:rPr>
          <w:rFonts w:ascii="Cambria" w:hAnsi="Cambria"/>
        </w:rPr>
        <w:t>Carbide</w:t>
      </w:r>
      <w:proofErr w:type="spellEnd"/>
      <w:r w:rsidRPr="00FA54CC">
        <w:rPr>
          <w:rFonts w:ascii="Cambria" w:hAnsi="Cambria"/>
        </w:rPr>
        <w:t xml:space="preserve"> produisant des pesticides qui a dégagé quarante tonnes d'isocyanate de méthyle dans l'atmosphère de la ville (environ 10.000 morts et 300.000 malades par suite de l’inhalation de ce gaz toxique).</w:t>
      </w:r>
    </w:p>
    <w:p w14:paraId="3E6441D7" w14:textId="1D29EE3D" w:rsidR="00C93EFC" w:rsidRDefault="00C93EFC" w:rsidP="00C93EFC">
      <w:pPr>
        <w:pStyle w:val="Notedebasdepage"/>
        <w:ind w:left="284" w:hanging="284"/>
      </w:pPr>
    </w:p>
  </w:footnote>
  <w:footnote w:id="6">
    <w:p w14:paraId="6F9D84F0" w14:textId="56E776D7" w:rsidR="00A7283B" w:rsidRPr="00A7283B" w:rsidRDefault="00A7283B" w:rsidP="00A7283B">
      <w:pPr>
        <w:pStyle w:val="Notedebasdepage"/>
        <w:ind w:left="284" w:hanging="284"/>
        <w:jc w:val="both"/>
        <w:rPr>
          <w:rFonts w:ascii="Cambria" w:hAnsi="Cambria"/>
        </w:rPr>
      </w:pPr>
      <w:r w:rsidRPr="00A7283B">
        <w:rPr>
          <w:rStyle w:val="Appelnotedebasdep"/>
          <w:rFonts w:ascii="Cambria" w:hAnsi="Cambria"/>
        </w:rPr>
        <w:footnoteRef/>
      </w:r>
      <w:r w:rsidRPr="00A7283B">
        <w:rPr>
          <w:rFonts w:ascii="Cambria" w:hAnsi="Cambria"/>
        </w:rPr>
        <w:t xml:space="preserve"> </w:t>
      </w:r>
      <w:r>
        <w:rPr>
          <w:rFonts w:ascii="Cambria" w:hAnsi="Cambria"/>
        </w:rPr>
        <w:tab/>
      </w:r>
      <w:r w:rsidRPr="00A7283B">
        <w:rPr>
          <w:rFonts w:ascii="Cambria" w:hAnsi="Cambria"/>
        </w:rPr>
        <w:t xml:space="preserve">CIRC : Centre international de recherche sur le cancer (International Agency for </w:t>
      </w:r>
      <w:proofErr w:type="spellStart"/>
      <w:r w:rsidRPr="00A7283B">
        <w:rPr>
          <w:rFonts w:ascii="Cambria" w:hAnsi="Cambria"/>
        </w:rPr>
        <w:t>Research</w:t>
      </w:r>
      <w:proofErr w:type="spellEnd"/>
      <w:r w:rsidRPr="00A7283B">
        <w:rPr>
          <w:rFonts w:ascii="Cambria" w:hAnsi="Cambria"/>
        </w:rPr>
        <w:t xml:space="preserve"> on Cancer – IARC en anglais). </w:t>
      </w:r>
      <w:r>
        <w:rPr>
          <w:rFonts w:ascii="Cambria" w:hAnsi="Cambria"/>
        </w:rPr>
        <w:t>Agence</w:t>
      </w:r>
      <w:r w:rsidRPr="00A7283B">
        <w:rPr>
          <w:rFonts w:ascii="Cambria" w:hAnsi="Cambria"/>
        </w:rPr>
        <w:t xml:space="preserve"> spécialisée de l’Organisation mondiale de la santé (OMS), créée en 1965 et basée à Lyon (France).</w:t>
      </w:r>
    </w:p>
  </w:footnote>
  <w:footnote w:id="7">
    <w:p w14:paraId="697F5BB3" w14:textId="406C2722" w:rsidR="00A7283B" w:rsidRPr="00A7283B" w:rsidRDefault="00A7283B" w:rsidP="00A7283B">
      <w:pPr>
        <w:pStyle w:val="Notedebasdepage"/>
        <w:spacing w:before="40"/>
        <w:ind w:left="284" w:hanging="284"/>
        <w:jc w:val="both"/>
        <w:rPr>
          <w:rFonts w:ascii="Cambria" w:hAnsi="Cambria"/>
        </w:rPr>
      </w:pPr>
      <w:r>
        <w:rPr>
          <w:rStyle w:val="Appelnotedebasdep"/>
        </w:rPr>
        <w:footnoteRef/>
      </w:r>
      <w:r>
        <w:t xml:space="preserve"> </w:t>
      </w:r>
      <w:r>
        <w:tab/>
      </w:r>
      <w:r w:rsidRPr="00A7283B">
        <w:rPr>
          <w:rFonts w:ascii="Cambria" w:hAnsi="Cambria"/>
        </w:rPr>
        <w:t>EFSA : Autorité européenne de sécurité des aliments (</w:t>
      </w:r>
      <w:proofErr w:type="spellStart"/>
      <w:r w:rsidRPr="00A7283B">
        <w:rPr>
          <w:rFonts w:ascii="Cambria" w:hAnsi="Cambria"/>
        </w:rPr>
        <w:t>European</w:t>
      </w:r>
      <w:proofErr w:type="spellEnd"/>
      <w:r w:rsidRPr="00A7283B">
        <w:rPr>
          <w:rFonts w:ascii="Cambria" w:hAnsi="Cambria"/>
        </w:rPr>
        <w:t xml:space="preserve"> Food </w:t>
      </w:r>
      <w:proofErr w:type="spellStart"/>
      <w:r w:rsidRPr="00A7283B">
        <w:rPr>
          <w:rFonts w:ascii="Cambria" w:hAnsi="Cambria"/>
        </w:rPr>
        <w:t>Safety</w:t>
      </w:r>
      <w:proofErr w:type="spellEnd"/>
      <w:r w:rsidRPr="00A7283B">
        <w:rPr>
          <w:rFonts w:ascii="Cambria" w:hAnsi="Cambria"/>
        </w:rPr>
        <w:t xml:space="preserve"> </w:t>
      </w:r>
      <w:proofErr w:type="spellStart"/>
      <w:r w:rsidRPr="00A7283B">
        <w:rPr>
          <w:rFonts w:ascii="Cambria" w:hAnsi="Cambria"/>
        </w:rPr>
        <w:t>Authority</w:t>
      </w:r>
      <w:proofErr w:type="spellEnd"/>
      <w:r w:rsidRPr="00A7283B">
        <w:rPr>
          <w:rFonts w:ascii="Cambria" w:hAnsi="Cambria"/>
        </w:rPr>
        <w:t xml:space="preserve">). </w:t>
      </w:r>
      <w:r>
        <w:rPr>
          <w:rFonts w:ascii="Cambria" w:hAnsi="Cambria"/>
        </w:rPr>
        <w:t>A</w:t>
      </w:r>
      <w:r w:rsidRPr="00A7283B">
        <w:rPr>
          <w:rFonts w:ascii="Cambria" w:hAnsi="Cambria"/>
        </w:rPr>
        <w:t>gence indépendante de l’Union européenne, créée en 2002 et basée à Parme (Italie).</w:t>
      </w:r>
    </w:p>
  </w:footnote>
  <w:footnote w:id="8">
    <w:p w14:paraId="4B3A2A96" w14:textId="5E9AD6D6" w:rsidR="00B217E6" w:rsidRPr="00B217E6" w:rsidRDefault="00B217E6" w:rsidP="00B217E6">
      <w:pPr>
        <w:pStyle w:val="Notedebasdepage"/>
        <w:ind w:left="284" w:hanging="284"/>
        <w:jc w:val="both"/>
        <w:rPr>
          <w:rFonts w:ascii="Cambria" w:hAnsi="Cambria"/>
        </w:rPr>
      </w:pPr>
      <w:r w:rsidRPr="00B217E6">
        <w:rPr>
          <w:rFonts w:ascii="Cambria" w:hAnsi="Cambria"/>
        </w:rPr>
        <w:footnoteRef/>
      </w:r>
      <w:r w:rsidRPr="00B217E6">
        <w:rPr>
          <w:rFonts w:ascii="Cambria" w:hAnsi="Cambria"/>
        </w:rPr>
        <w:t xml:space="preserve"> </w:t>
      </w:r>
      <w:r>
        <w:rPr>
          <w:rFonts w:ascii="Cambria" w:hAnsi="Cambria"/>
        </w:rPr>
        <w:tab/>
        <w:t xml:space="preserve">AFSCA : </w:t>
      </w:r>
      <w:r w:rsidRPr="00B217E6">
        <w:rPr>
          <w:rFonts w:ascii="Cambria" w:hAnsi="Cambria"/>
        </w:rPr>
        <w:t>Agence fédérale pour la sécurité de la chaîne alimentaire (</w:t>
      </w:r>
      <w:proofErr w:type="spellStart"/>
      <w:r w:rsidRPr="00B217E6">
        <w:rPr>
          <w:rFonts w:ascii="Cambria" w:hAnsi="Cambria"/>
        </w:rPr>
        <w:t>Federal</w:t>
      </w:r>
      <w:proofErr w:type="spellEnd"/>
      <w:r w:rsidRPr="00B217E6">
        <w:rPr>
          <w:rFonts w:ascii="Cambria" w:hAnsi="Cambria"/>
        </w:rPr>
        <w:t xml:space="preserve"> Agency for the </w:t>
      </w:r>
      <w:proofErr w:type="spellStart"/>
      <w:r w:rsidRPr="00B217E6">
        <w:rPr>
          <w:rFonts w:ascii="Cambria" w:hAnsi="Cambria"/>
        </w:rPr>
        <w:t>Safety</w:t>
      </w:r>
      <w:proofErr w:type="spellEnd"/>
      <w:r w:rsidRPr="00B217E6">
        <w:rPr>
          <w:rFonts w:ascii="Cambria" w:hAnsi="Cambria"/>
        </w:rPr>
        <w:t xml:space="preserve"> of the Food Chain). C’est une institution publique belge, créée en 2000, qui veille à garantir la sécurité de toute la chaîne alimentaire, de la production à la consommation.</w:t>
      </w:r>
    </w:p>
  </w:footnote>
  <w:footnote w:id="9">
    <w:p w14:paraId="350D866B" w14:textId="3F36F283" w:rsidR="00B217E6" w:rsidRPr="00B217E6" w:rsidRDefault="00B217E6" w:rsidP="00B217E6">
      <w:pPr>
        <w:pStyle w:val="Notedebasdepage"/>
        <w:spacing w:before="40"/>
        <w:ind w:left="284" w:hanging="284"/>
        <w:jc w:val="both"/>
        <w:rPr>
          <w:rFonts w:ascii="Cambria" w:hAnsi="Cambria"/>
        </w:rPr>
      </w:pPr>
      <w:r w:rsidRPr="00B217E6">
        <w:rPr>
          <w:rStyle w:val="Appelnotedebasdep"/>
          <w:rFonts w:ascii="Cambria" w:hAnsi="Cambria"/>
        </w:rPr>
        <w:footnoteRef/>
      </w:r>
      <w:r w:rsidRPr="00B217E6">
        <w:rPr>
          <w:rFonts w:ascii="Cambria" w:hAnsi="Cambria"/>
        </w:rPr>
        <w:t xml:space="preserve"> </w:t>
      </w:r>
      <w:r>
        <w:rPr>
          <w:rFonts w:ascii="Cambria" w:hAnsi="Cambria"/>
        </w:rPr>
        <w:tab/>
      </w:r>
      <w:r w:rsidRPr="00B217E6">
        <w:rPr>
          <w:rFonts w:ascii="Cambria" w:hAnsi="Cambria"/>
        </w:rPr>
        <w:t>J</w:t>
      </w:r>
      <w:r>
        <w:rPr>
          <w:rFonts w:ascii="Cambria" w:hAnsi="Cambria"/>
        </w:rPr>
        <w:t>MPR : Jo</w:t>
      </w:r>
      <w:r w:rsidRPr="00B217E6">
        <w:rPr>
          <w:rFonts w:ascii="Cambria" w:hAnsi="Cambria"/>
        </w:rPr>
        <w:t xml:space="preserve">int Meeting on Pesticide </w:t>
      </w:r>
      <w:proofErr w:type="spellStart"/>
      <w:r w:rsidRPr="00B217E6">
        <w:rPr>
          <w:rFonts w:ascii="Cambria" w:hAnsi="Cambria"/>
        </w:rPr>
        <w:t>Residues</w:t>
      </w:r>
      <w:proofErr w:type="spellEnd"/>
      <w:r w:rsidRPr="00B217E6">
        <w:rPr>
          <w:rFonts w:ascii="Cambria" w:hAnsi="Cambria"/>
        </w:rPr>
        <w:t xml:space="preserve"> (Réunion conjointe sur les résidus de pesticides). Comité international d’experts, conjointement organisé par la FAO et l’OMS, qui joue un rôle central dans l’évaluation scientifique des résidus de pesticides dans les aliments et l’évaluation des risques pour la santé humaine.</w:t>
      </w:r>
    </w:p>
  </w:footnote>
  <w:footnote w:id="10">
    <w:p w14:paraId="00626B09" w14:textId="7F911C07" w:rsidR="00036331" w:rsidRPr="00036331" w:rsidRDefault="00036331" w:rsidP="00036331">
      <w:pPr>
        <w:pStyle w:val="Notedebasdepage"/>
        <w:ind w:left="284" w:hanging="284"/>
        <w:jc w:val="both"/>
        <w:rPr>
          <w:rFonts w:ascii="Cambria" w:hAnsi="Cambria"/>
        </w:rPr>
      </w:pPr>
      <w:r>
        <w:rPr>
          <w:rStyle w:val="Appelnotedebasdep"/>
        </w:rPr>
        <w:footnoteRef/>
      </w:r>
      <w:r>
        <w:t xml:space="preserve"> </w:t>
      </w:r>
      <w:r>
        <w:tab/>
      </w:r>
      <w:r w:rsidRPr="00036331">
        <w:rPr>
          <w:rFonts w:ascii="Cambria" w:hAnsi="Cambria"/>
        </w:rPr>
        <w:t xml:space="preserve">EPA : </w:t>
      </w:r>
      <w:proofErr w:type="spellStart"/>
      <w:r w:rsidRPr="00036331">
        <w:rPr>
          <w:rFonts w:ascii="Cambria" w:hAnsi="Cambria"/>
        </w:rPr>
        <w:t>Environmental</w:t>
      </w:r>
      <w:proofErr w:type="spellEnd"/>
      <w:r w:rsidRPr="00036331">
        <w:rPr>
          <w:rFonts w:ascii="Cambria" w:hAnsi="Cambria"/>
        </w:rPr>
        <w:t xml:space="preserve"> Protection Agency (Agence de protection de l’environnement). </w:t>
      </w:r>
      <w:r>
        <w:rPr>
          <w:rFonts w:ascii="Cambria" w:hAnsi="Cambria"/>
        </w:rPr>
        <w:t>A</w:t>
      </w:r>
      <w:r w:rsidRPr="00036331">
        <w:rPr>
          <w:rFonts w:ascii="Cambria" w:hAnsi="Cambria"/>
        </w:rPr>
        <w:t>gence fédérale américaine, créée en 1970, chargée de protéger la santé humaine et l’environnement aux États-Unis.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07C37"/>
    <w:multiLevelType w:val="hybridMultilevel"/>
    <w:tmpl w:val="3320A97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 w15:restartNumberingAfterBreak="0">
    <w:nsid w:val="04920344"/>
    <w:multiLevelType w:val="hybridMultilevel"/>
    <w:tmpl w:val="F2A08874"/>
    <w:lvl w:ilvl="0" w:tplc="C78A9430">
      <w:start w:val="1"/>
      <w:numFmt w:val="bullet"/>
      <w:lvlText w:val="-"/>
      <w:lvlJc w:val="left"/>
      <w:pPr>
        <w:ind w:left="1068" w:hanging="360"/>
      </w:pPr>
      <w:rPr>
        <w:rFonts w:ascii="Cambria" w:eastAsiaTheme="minorHAnsi" w:hAnsi="Cambria" w:cstheme="minorBidi" w:hint="default"/>
      </w:rPr>
    </w:lvl>
    <w:lvl w:ilvl="1" w:tplc="080C0003" w:tentative="1">
      <w:start w:val="1"/>
      <w:numFmt w:val="bullet"/>
      <w:lvlText w:val="o"/>
      <w:lvlJc w:val="left"/>
      <w:pPr>
        <w:ind w:left="1297" w:hanging="360"/>
      </w:pPr>
      <w:rPr>
        <w:rFonts w:ascii="Courier New" w:hAnsi="Courier New" w:cs="Courier New" w:hint="default"/>
      </w:rPr>
    </w:lvl>
    <w:lvl w:ilvl="2" w:tplc="080C0005" w:tentative="1">
      <w:start w:val="1"/>
      <w:numFmt w:val="bullet"/>
      <w:lvlText w:val=""/>
      <w:lvlJc w:val="left"/>
      <w:pPr>
        <w:ind w:left="2017" w:hanging="360"/>
      </w:pPr>
      <w:rPr>
        <w:rFonts w:ascii="Wingdings" w:hAnsi="Wingdings" w:hint="default"/>
      </w:rPr>
    </w:lvl>
    <w:lvl w:ilvl="3" w:tplc="080C0001" w:tentative="1">
      <w:start w:val="1"/>
      <w:numFmt w:val="bullet"/>
      <w:lvlText w:val=""/>
      <w:lvlJc w:val="left"/>
      <w:pPr>
        <w:ind w:left="2737" w:hanging="360"/>
      </w:pPr>
      <w:rPr>
        <w:rFonts w:ascii="Symbol" w:hAnsi="Symbol" w:hint="default"/>
      </w:rPr>
    </w:lvl>
    <w:lvl w:ilvl="4" w:tplc="080C0003" w:tentative="1">
      <w:start w:val="1"/>
      <w:numFmt w:val="bullet"/>
      <w:lvlText w:val="o"/>
      <w:lvlJc w:val="left"/>
      <w:pPr>
        <w:ind w:left="3457" w:hanging="360"/>
      </w:pPr>
      <w:rPr>
        <w:rFonts w:ascii="Courier New" w:hAnsi="Courier New" w:cs="Courier New" w:hint="default"/>
      </w:rPr>
    </w:lvl>
    <w:lvl w:ilvl="5" w:tplc="080C0005" w:tentative="1">
      <w:start w:val="1"/>
      <w:numFmt w:val="bullet"/>
      <w:lvlText w:val=""/>
      <w:lvlJc w:val="left"/>
      <w:pPr>
        <w:ind w:left="4177" w:hanging="360"/>
      </w:pPr>
      <w:rPr>
        <w:rFonts w:ascii="Wingdings" w:hAnsi="Wingdings" w:hint="default"/>
      </w:rPr>
    </w:lvl>
    <w:lvl w:ilvl="6" w:tplc="080C0001" w:tentative="1">
      <w:start w:val="1"/>
      <w:numFmt w:val="bullet"/>
      <w:lvlText w:val=""/>
      <w:lvlJc w:val="left"/>
      <w:pPr>
        <w:ind w:left="4897" w:hanging="360"/>
      </w:pPr>
      <w:rPr>
        <w:rFonts w:ascii="Symbol" w:hAnsi="Symbol" w:hint="default"/>
      </w:rPr>
    </w:lvl>
    <w:lvl w:ilvl="7" w:tplc="080C0003" w:tentative="1">
      <w:start w:val="1"/>
      <w:numFmt w:val="bullet"/>
      <w:lvlText w:val="o"/>
      <w:lvlJc w:val="left"/>
      <w:pPr>
        <w:ind w:left="5617" w:hanging="360"/>
      </w:pPr>
      <w:rPr>
        <w:rFonts w:ascii="Courier New" w:hAnsi="Courier New" w:cs="Courier New" w:hint="default"/>
      </w:rPr>
    </w:lvl>
    <w:lvl w:ilvl="8" w:tplc="080C0005" w:tentative="1">
      <w:start w:val="1"/>
      <w:numFmt w:val="bullet"/>
      <w:lvlText w:val=""/>
      <w:lvlJc w:val="left"/>
      <w:pPr>
        <w:ind w:left="6337" w:hanging="360"/>
      </w:pPr>
      <w:rPr>
        <w:rFonts w:ascii="Wingdings" w:hAnsi="Wingdings" w:hint="default"/>
      </w:rPr>
    </w:lvl>
  </w:abstractNum>
  <w:abstractNum w:abstractNumId="2" w15:restartNumberingAfterBreak="0">
    <w:nsid w:val="0C9A2F77"/>
    <w:multiLevelType w:val="hybridMultilevel"/>
    <w:tmpl w:val="53C2BB10"/>
    <w:lvl w:ilvl="0" w:tplc="01020B02">
      <w:numFmt w:val="bullet"/>
      <w:lvlText w:val="•"/>
      <w:lvlJc w:val="left"/>
      <w:pPr>
        <w:ind w:left="705" w:hanging="705"/>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CB76B8F"/>
    <w:multiLevelType w:val="hybridMultilevel"/>
    <w:tmpl w:val="487AFB14"/>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0E840091"/>
    <w:multiLevelType w:val="multilevel"/>
    <w:tmpl w:val="DD382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E322E"/>
    <w:multiLevelType w:val="multilevel"/>
    <w:tmpl w:val="8AAA0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267C6B"/>
    <w:multiLevelType w:val="hybridMultilevel"/>
    <w:tmpl w:val="9B6A9A36"/>
    <w:lvl w:ilvl="0" w:tplc="C78A9430">
      <w:start w:val="1"/>
      <w:numFmt w:val="bullet"/>
      <w:lvlText w:val="-"/>
      <w:lvlJc w:val="left"/>
      <w:pPr>
        <w:ind w:left="1211" w:hanging="360"/>
      </w:pPr>
      <w:rPr>
        <w:rFonts w:ascii="Cambria" w:eastAsiaTheme="minorHAnsi" w:hAnsi="Cambria" w:cstheme="minorBidi" w:hint="default"/>
      </w:rPr>
    </w:lvl>
    <w:lvl w:ilvl="1" w:tplc="080C0003" w:tentative="1">
      <w:start w:val="1"/>
      <w:numFmt w:val="bullet"/>
      <w:lvlText w:val="o"/>
      <w:lvlJc w:val="left"/>
      <w:pPr>
        <w:ind w:left="1931" w:hanging="360"/>
      </w:pPr>
      <w:rPr>
        <w:rFonts w:ascii="Courier New" w:hAnsi="Courier New" w:cs="Courier New" w:hint="default"/>
      </w:rPr>
    </w:lvl>
    <w:lvl w:ilvl="2" w:tplc="080C0005" w:tentative="1">
      <w:start w:val="1"/>
      <w:numFmt w:val="bullet"/>
      <w:lvlText w:val=""/>
      <w:lvlJc w:val="left"/>
      <w:pPr>
        <w:ind w:left="2651" w:hanging="360"/>
      </w:pPr>
      <w:rPr>
        <w:rFonts w:ascii="Wingdings" w:hAnsi="Wingdings" w:hint="default"/>
      </w:rPr>
    </w:lvl>
    <w:lvl w:ilvl="3" w:tplc="080C0001" w:tentative="1">
      <w:start w:val="1"/>
      <w:numFmt w:val="bullet"/>
      <w:lvlText w:val=""/>
      <w:lvlJc w:val="left"/>
      <w:pPr>
        <w:ind w:left="3371" w:hanging="360"/>
      </w:pPr>
      <w:rPr>
        <w:rFonts w:ascii="Symbol" w:hAnsi="Symbol" w:hint="default"/>
      </w:rPr>
    </w:lvl>
    <w:lvl w:ilvl="4" w:tplc="080C0003" w:tentative="1">
      <w:start w:val="1"/>
      <w:numFmt w:val="bullet"/>
      <w:lvlText w:val="o"/>
      <w:lvlJc w:val="left"/>
      <w:pPr>
        <w:ind w:left="4091" w:hanging="360"/>
      </w:pPr>
      <w:rPr>
        <w:rFonts w:ascii="Courier New" w:hAnsi="Courier New" w:cs="Courier New" w:hint="default"/>
      </w:rPr>
    </w:lvl>
    <w:lvl w:ilvl="5" w:tplc="080C0005" w:tentative="1">
      <w:start w:val="1"/>
      <w:numFmt w:val="bullet"/>
      <w:lvlText w:val=""/>
      <w:lvlJc w:val="left"/>
      <w:pPr>
        <w:ind w:left="4811" w:hanging="360"/>
      </w:pPr>
      <w:rPr>
        <w:rFonts w:ascii="Wingdings" w:hAnsi="Wingdings" w:hint="default"/>
      </w:rPr>
    </w:lvl>
    <w:lvl w:ilvl="6" w:tplc="080C0001" w:tentative="1">
      <w:start w:val="1"/>
      <w:numFmt w:val="bullet"/>
      <w:lvlText w:val=""/>
      <w:lvlJc w:val="left"/>
      <w:pPr>
        <w:ind w:left="5531" w:hanging="360"/>
      </w:pPr>
      <w:rPr>
        <w:rFonts w:ascii="Symbol" w:hAnsi="Symbol" w:hint="default"/>
      </w:rPr>
    </w:lvl>
    <w:lvl w:ilvl="7" w:tplc="080C0003" w:tentative="1">
      <w:start w:val="1"/>
      <w:numFmt w:val="bullet"/>
      <w:lvlText w:val="o"/>
      <w:lvlJc w:val="left"/>
      <w:pPr>
        <w:ind w:left="6251" w:hanging="360"/>
      </w:pPr>
      <w:rPr>
        <w:rFonts w:ascii="Courier New" w:hAnsi="Courier New" w:cs="Courier New" w:hint="default"/>
      </w:rPr>
    </w:lvl>
    <w:lvl w:ilvl="8" w:tplc="080C0005" w:tentative="1">
      <w:start w:val="1"/>
      <w:numFmt w:val="bullet"/>
      <w:lvlText w:val=""/>
      <w:lvlJc w:val="left"/>
      <w:pPr>
        <w:ind w:left="6971" w:hanging="360"/>
      </w:pPr>
      <w:rPr>
        <w:rFonts w:ascii="Wingdings" w:hAnsi="Wingdings" w:hint="default"/>
      </w:rPr>
    </w:lvl>
  </w:abstractNum>
  <w:abstractNum w:abstractNumId="7" w15:restartNumberingAfterBreak="0">
    <w:nsid w:val="1C023A32"/>
    <w:multiLevelType w:val="hybridMultilevel"/>
    <w:tmpl w:val="7A56B94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15:restartNumberingAfterBreak="0">
    <w:nsid w:val="1DCF4E7B"/>
    <w:multiLevelType w:val="hybridMultilevel"/>
    <w:tmpl w:val="3836ECDC"/>
    <w:lvl w:ilvl="0" w:tplc="43FC7022">
      <w:numFmt w:val="bullet"/>
      <w:lvlText w:val="-"/>
      <w:lvlJc w:val="left"/>
      <w:pPr>
        <w:ind w:left="720" w:hanging="360"/>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C6C6303"/>
    <w:multiLevelType w:val="hybridMultilevel"/>
    <w:tmpl w:val="CF12A5B4"/>
    <w:lvl w:ilvl="0" w:tplc="080C0001">
      <w:start w:val="1"/>
      <w:numFmt w:val="bullet"/>
      <w:lvlText w:val=""/>
      <w:lvlJc w:val="left"/>
      <w:pPr>
        <w:ind w:left="705" w:hanging="705"/>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8082074"/>
    <w:multiLevelType w:val="hybridMultilevel"/>
    <w:tmpl w:val="C43CC228"/>
    <w:lvl w:ilvl="0" w:tplc="979E0178">
      <w:start w:val="1"/>
      <w:numFmt w:val="decimal"/>
      <w:lvlText w:val="%1."/>
      <w:lvlJc w:val="left"/>
      <w:pPr>
        <w:ind w:left="705" w:hanging="705"/>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1" w15:restartNumberingAfterBreak="0">
    <w:nsid w:val="4AD17892"/>
    <w:multiLevelType w:val="multilevel"/>
    <w:tmpl w:val="7C8C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1069E4"/>
    <w:multiLevelType w:val="hybridMultilevel"/>
    <w:tmpl w:val="8076AD96"/>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3" w15:restartNumberingAfterBreak="0">
    <w:nsid w:val="5C295E50"/>
    <w:multiLevelType w:val="hybridMultilevel"/>
    <w:tmpl w:val="EBBC1762"/>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6907706B"/>
    <w:multiLevelType w:val="multilevel"/>
    <w:tmpl w:val="2BCA73F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6A55005F"/>
    <w:multiLevelType w:val="hybridMultilevel"/>
    <w:tmpl w:val="C9FC840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6B5E44A9"/>
    <w:multiLevelType w:val="hybridMultilevel"/>
    <w:tmpl w:val="8756546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6DC31779"/>
    <w:multiLevelType w:val="hybridMultilevel"/>
    <w:tmpl w:val="AD1C760E"/>
    <w:lvl w:ilvl="0" w:tplc="01020B02">
      <w:numFmt w:val="bullet"/>
      <w:lvlText w:val="•"/>
      <w:lvlJc w:val="left"/>
      <w:pPr>
        <w:ind w:left="705" w:hanging="705"/>
      </w:pPr>
      <w:rPr>
        <w:rFonts w:ascii="Cambria" w:eastAsiaTheme="minorHAnsi" w:hAnsi="Cambria" w:cstheme="minorBid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8" w15:restartNumberingAfterBreak="0">
    <w:nsid w:val="755F7E27"/>
    <w:multiLevelType w:val="multilevel"/>
    <w:tmpl w:val="DB3A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616508"/>
    <w:multiLevelType w:val="hybridMultilevel"/>
    <w:tmpl w:val="1F16F852"/>
    <w:lvl w:ilvl="0" w:tplc="080C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7B860EDC"/>
    <w:multiLevelType w:val="hybridMultilevel"/>
    <w:tmpl w:val="3FECB208"/>
    <w:lvl w:ilvl="0" w:tplc="E7AAFB38">
      <w:numFmt w:val="bullet"/>
      <w:lvlText w:val="-"/>
      <w:lvlJc w:val="left"/>
      <w:pPr>
        <w:ind w:left="360" w:hanging="360"/>
      </w:pPr>
      <w:rPr>
        <w:rFonts w:ascii="Cambria" w:eastAsiaTheme="minorHAnsi" w:hAnsi="Cambria" w:cstheme="minorBid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1" w15:restartNumberingAfterBreak="0">
    <w:nsid w:val="7CF92F1F"/>
    <w:multiLevelType w:val="hybridMultilevel"/>
    <w:tmpl w:val="D6C02FA0"/>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898852658">
    <w:abstractNumId w:val="0"/>
  </w:num>
  <w:num w:numId="2" w16cid:durableId="2134322264">
    <w:abstractNumId w:val="16"/>
  </w:num>
  <w:num w:numId="3" w16cid:durableId="244068458">
    <w:abstractNumId w:val="17"/>
  </w:num>
  <w:num w:numId="4" w16cid:durableId="1496604292">
    <w:abstractNumId w:val="18"/>
  </w:num>
  <w:num w:numId="5" w16cid:durableId="81490314">
    <w:abstractNumId w:val="2"/>
  </w:num>
  <w:num w:numId="6" w16cid:durableId="263617557">
    <w:abstractNumId w:val="20"/>
  </w:num>
  <w:num w:numId="7" w16cid:durableId="679939423">
    <w:abstractNumId w:val="7"/>
  </w:num>
  <w:num w:numId="8" w16cid:durableId="1625648195">
    <w:abstractNumId w:val="14"/>
  </w:num>
  <w:num w:numId="9" w16cid:durableId="67506662">
    <w:abstractNumId w:val="4"/>
  </w:num>
  <w:num w:numId="10" w16cid:durableId="1791127007">
    <w:abstractNumId w:val="11"/>
  </w:num>
  <w:num w:numId="11" w16cid:durableId="1305575315">
    <w:abstractNumId w:val="3"/>
  </w:num>
  <w:num w:numId="12" w16cid:durableId="1067805257">
    <w:abstractNumId w:val="10"/>
  </w:num>
  <w:num w:numId="13" w16cid:durableId="1151093533">
    <w:abstractNumId w:val="13"/>
  </w:num>
  <w:num w:numId="14" w16cid:durableId="2041733551">
    <w:abstractNumId w:val="12"/>
  </w:num>
  <w:num w:numId="15" w16cid:durableId="495148564">
    <w:abstractNumId w:val="6"/>
  </w:num>
  <w:num w:numId="16" w16cid:durableId="414791242">
    <w:abstractNumId w:val="1"/>
  </w:num>
  <w:num w:numId="17" w16cid:durableId="647711938">
    <w:abstractNumId w:val="21"/>
  </w:num>
  <w:num w:numId="18" w16cid:durableId="438572013">
    <w:abstractNumId w:val="5"/>
  </w:num>
  <w:num w:numId="19" w16cid:durableId="750352151">
    <w:abstractNumId w:val="19"/>
  </w:num>
  <w:num w:numId="20" w16cid:durableId="707417956">
    <w:abstractNumId w:val="9"/>
  </w:num>
  <w:num w:numId="21" w16cid:durableId="1359358297">
    <w:abstractNumId w:val="15"/>
  </w:num>
  <w:num w:numId="22" w16cid:durableId="5007818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D12"/>
    <w:rsid w:val="00012CE6"/>
    <w:rsid w:val="00036331"/>
    <w:rsid w:val="00051F43"/>
    <w:rsid w:val="00061A0C"/>
    <w:rsid w:val="00065F2E"/>
    <w:rsid w:val="00075324"/>
    <w:rsid w:val="000B0C02"/>
    <w:rsid w:val="000C4C8E"/>
    <w:rsid w:val="00111D38"/>
    <w:rsid w:val="00112878"/>
    <w:rsid w:val="00126A76"/>
    <w:rsid w:val="00132FCF"/>
    <w:rsid w:val="00161FC7"/>
    <w:rsid w:val="00166C15"/>
    <w:rsid w:val="00170C22"/>
    <w:rsid w:val="00176ADE"/>
    <w:rsid w:val="00186B39"/>
    <w:rsid w:val="001A31A2"/>
    <w:rsid w:val="001C6751"/>
    <w:rsid w:val="001D4074"/>
    <w:rsid w:val="001E6272"/>
    <w:rsid w:val="001F162F"/>
    <w:rsid w:val="0020500E"/>
    <w:rsid w:val="002279EC"/>
    <w:rsid w:val="00265183"/>
    <w:rsid w:val="00293001"/>
    <w:rsid w:val="002A6A5A"/>
    <w:rsid w:val="002B5127"/>
    <w:rsid w:val="002E18B9"/>
    <w:rsid w:val="00303A67"/>
    <w:rsid w:val="0031593E"/>
    <w:rsid w:val="0031738F"/>
    <w:rsid w:val="003604FC"/>
    <w:rsid w:val="00373FAB"/>
    <w:rsid w:val="0037491D"/>
    <w:rsid w:val="003874E5"/>
    <w:rsid w:val="003B0BC5"/>
    <w:rsid w:val="003D2C0B"/>
    <w:rsid w:val="003E2E16"/>
    <w:rsid w:val="003E59A8"/>
    <w:rsid w:val="00442745"/>
    <w:rsid w:val="00447D1B"/>
    <w:rsid w:val="00455F5A"/>
    <w:rsid w:val="0045628A"/>
    <w:rsid w:val="00471B38"/>
    <w:rsid w:val="00476BD1"/>
    <w:rsid w:val="00477358"/>
    <w:rsid w:val="00487F8C"/>
    <w:rsid w:val="00490895"/>
    <w:rsid w:val="004A3DD3"/>
    <w:rsid w:val="004C1B3B"/>
    <w:rsid w:val="004D204B"/>
    <w:rsid w:val="004D69FE"/>
    <w:rsid w:val="00500870"/>
    <w:rsid w:val="00524D53"/>
    <w:rsid w:val="005332B4"/>
    <w:rsid w:val="0056292F"/>
    <w:rsid w:val="005818E3"/>
    <w:rsid w:val="005844D2"/>
    <w:rsid w:val="005E1206"/>
    <w:rsid w:val="005E6D12"/>
    <w:rsid w:val="005F0F8F"/>
    <w:rsid w:val="00610491"/>
    <w:rsid w:val="00634448"/>
    <w:rsid w:val="00660A96"/>
    <w:rsid w:val="0066492D"/>
    <w:rsid w:val="006738FD"/>
    <w:rsid w:val="00675924"/>
    <w:rsid w:val="00734E9E"/>
    <w:rsid w:val="00766488"/>
    <w:rsid w:val="0077152B"/>
    <w:rsid w:val="00777EE5"/>
    <w:rsid w:val="00781780"/>
    <w:rsid w:val="00784C23"/>
    <w:rsid w:val="007A1336"/>
    <w:rsid w:val="007A4128"/>
    <w:rsid w:val="007D4BDD"/>
    <w:rsid w:val="007E7E64"/>
    <w:rsid w:val="007F63A2"/>
    <w:rsid w:val="00815E6E"/>
    <w:rsid w:val="00831069"/>
    <w:rsid w:val="00837FC7"/>
    <w:rsid w:val="008438B1"/>
    <w:rsid w:val="0085018B"/>
    <w:rsid w:val="008A18B7"/>
    <w:rsid w:val="008B5A17"/>
    <w:rsid w:val="008B70CB"/>
    <w:rsid w:val="008D4CB6"/>
    <w:rsid w:val="008E5D15"/>
    <w:rsid w:val="008E7E29"/>
    <w:rsid w:val="00930805"/>
    <w:rsid w:val="00931C8B"/>
    <w:rsid w:val="009373C5"/>
    <w:rsid w:val="00945511"/>
    <w:rsid w:val="00960010"/>
    <w:rsid w:val="00982101"/>
    <w:rsid w:val="009C0C59"/>
    <w:rsid w:val="009C7495"/>
    <w:rsid w:val="009D6C8A"/>
    <w:rsid w:val="009E53D6"/>
    <w:rsid w:val="009E7958"/>
    <w:rsid w:val="00A05DEC"/>
    <w:rsid w:val="00A22CC4"/>
    <w:rsid w:val="00A3684A"/>
    <w:rsid w:val="00A42E73"/>
    <w:rsid w:val="00A7283B"/>
    <w:rsid w:val="00A81EAD"/>
    <w:rsid w:val="00A87693"/>
    <w:rsid w:val="00AB5446"/>
    <w:rsid w:val="00AB614E"/>
    <w:rsid w:val="00AD3911"/>
    <w:rsid w:val="00AE2B46"/>
    <w:rsid w:val="00AF279A"/>
    <w:rsid w:val="00B01213"/>
    <w:rsid w:val="00B11532"/>
    <w:rsid w:val="00B12E7A"/>
    <w:rsid w:val="00B12FA2"/>
    <w:rsid w:val="00B20849"/>
    <w:rsid w:val="00B217E6"/>
    <w:rsid w:val="00B36B65"/>
    <w:rsid w:val="00B442B1"/>
    <w:rsid w:val="00B54758"/>
    <w:rsid w:val="00B67EA4"/>
    <w:rsid w:val="00B868BC"/>
    <w:rsid w:val="00B86E5E"/>
    <w:rsid w:val="00B95CE5"/>
    <w:rsid w:val="00BA5075"/>
    <w:rsid w:val="00BC656E"/>
    <w:rsid w:val="00C56CA9"/>
    <w:rsid w:val="00C64826"/>
    <w:rsid w:val="00C93EFC"/>
    <w:rsid w:val="00CA3E3D"/>
    <w:rsid w:val="00CC1A76"/>
    <w:rsid w:val="00CC457C"/>
    <w:rsid w:val="00CD468F"/>
    <w:rsid w:val="00D04B39"/>
    <w:rsid w:val="00D05F9E"/>
    <w:rsid w:val="00DC26C3"/>
    <w:rsid w:val="00DF1104"/>
    <w:rsid w:val="00DF2508"/>
    <w:rsid w:val="00E02576"/>
    <w:rsid w:val="00E0484D"/>
    <w:rsid w:val="00E0569A"/>
    <w:rsid w:val="00E12FB4"/>
    <w:rsid w:val="00E230AB"/>
    <w:rsid w:val="00E31C7B"/>
    <w:rsid w:val="00E73942"/>
    <w:rsid w:val="00EA757D"/>
    <w:rsid w:val="00EB2D63"/>
    <w:rsid w:val="00EB5DEE"/>
    <w:rsid w:val="00EC1402"/>
    <w:rsid w:val="00EE4325"/>
    <w:rsid w:val="00EE608F"/>
    <w:rsid w:val="00F040F0"/>
    <w:rsid w:val="00F04EBF"/>
    <w:rsid w:val="00F33857"/>
    <w:rsid w:val="00F33D26"/>
    <w:rsid w:val="00F60E0E"/>
    <w:rsid w:val="00F615A7"/>
    <w:rsid w:val="00F844DE"/>
    <w:rsid w:val="00FA1C9C"/>
    <w:rsid w:val="00FA54CC"/>
    <w:rsid w:val="00FA624D"/>
    <w:rsid w:val="00FA6719"/>
    <w:rsid w:val="00FB34B1"/>
    <w:rsid w:val="00FD129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930B1"/>
  <w15:chartTrackingRefBased/>
  <w15:docId w15:val="{52BB8533-BDC7-4D5B-A175-8E339616A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E6D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E6D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E6D1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E6D1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E6D1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E6D12"/>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E6D12"/>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E6D12"/>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E6D12"/>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6D1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E6D1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E6D1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E6D1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E6D1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E6D1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E6D1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E6D1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E6D12"/>
    <w:rPr>
      <w:rFonts w:eastAsiaTheme="majorEastAsia" w:cstheme="majorBidi"/>
      <w:color w:val="272727" w:themeColor="text1" w:themeTint="D8"/>
    </w:rPr>
  </w:style>
  <w:style w:type="paragraph" w:styleId="Titre">
    <w:name w:val="Title"/>
    <w:basedOn w:val="Normal"/>
    <w:next w:val="Normal"/>
    <w:link w:val="TitreCar"/>
    <w:uiPriority w:val="10"/>
    <w:qFormat/>
    <w:rsid w:val="005E6D12"/>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E6D1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E6D12"/>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E6D1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E6D12"/>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5E6D12"/>
    <w:rPr>
      <w:i/>
      <w:iCs/>
      <w:color w:val="404040" w:themeColor="text1" w:themeTint="BF"/>
    </w:rPr>
  </w:style>
  <w:style w:type="paragraph" w:styleId="Paragraphedeliste">
    <w:name w:val="List Paragraph"/>
    <w:basedOn w:val="Normal"/>
    <w:uiPriority w:val="34"/>
    <w:qFormat/>
    <w:rsid w:val="005E6D12"/>
    <w:pPr>
      <w:ind w:left="720"/>
      <w:contextualSpacing/>
    </w:pPr>
  </w:style>
  <w:style w:type="character" w:styleId="Accentuationintense">
    <w:name w:val="Intense Emphasis"/>
    <w:basedOn w:val="Policepardfaut"/>
    <w:uiPriority w:val="21"/>
    <w:qFormat/>
    <w:rsid w:val="005E6D12"/>
    <w:rPr>
      <w:i/>
      <w:iCs/>
      <w:color w:val="0F4761" w:themeColor="accent1" w:themeShade="BF"/>
    </w:rPr>
  </w:style>
  <w:style w:type="paragraph" w:styleId="Citationintense">
    <w:name w:val="Intense Quote"/>
    <w:basedOn w:val="Normal"/>
    <w:next w:val="Normal"/>
    <w:link w:val="CitationintenseCar"/>
    <w:uiPriority w:val="30"/>
    <w:qFormat/>
    <w:rsid w:val="005E6D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E6D12"/>
    <w:rPr>
      <w:i/>
      <w:iCs/>
      <w:color w:val="0F4761" w:themeColor="accent1" w:themeShade="BF"/>
    </w:rPr>
  </w:style>
  <w:style w:type="character" w:styleId="Rfrenceintense">
    <w:name w:val="Intense Reference"/>
    <w:basedOn w:val="Policepardfaut"/>
    <w:uiPriority w:val="32"/>
    <w:qFormat/>
    <w:rsid w:val="005E6D12"/>
    <w:rPr>
      <w:b/>
      <w:bCs/>
      <w:smallCaps/>
      <w:color w:val="0F4761" w:themeColor="accent1" w:themeShade="BF"/>
      <w:spacing w:val="5"/>
    </w:rPr>
  </w:style>
  <w:style w:type="paragraph" w:styleId="Notedebasdepage">
    <w:name w:val="footnote text"/>
    <w:basedOn w:val="Normal"/>
    <w:link w:val="NotedebasdepageCar"/>
    <w:uiPriority w:val="99"/>
    <w:semiHidden/>
    <w:unhideWhenUsed/>
    <w:rsid w:val="00500870"/>
    <w:rPr>
      <w:sz w:val="20"/>
      <w:szCs w:val="20"/>
    </w:rPr>
  </w:style>
  <w:style w:type="character" w:customStyle="1" w:styleId="NotedebasdepageCar">
    <w:name w:val="Note de bas de page Car"/>
    <w:basedOn w:val="Policepardfaut"/>
    <w:link w:val="Notedebasdepage"/>
    <w:uiPriority w:val="99"/>
    <w:semiHidden/>
    <w:rsid w:val="00500870"/>
    <w:rPr>
      <w:sz w:val="20"/>
      <w:szCs w:val="20"/>
    </w:rPr>
  </w:style>
  <w:style w:type="character" w:styleId="Appelnotedebasdep">
    <w:name w:val="footnote reference"/>
    <w:basedOn w:val="Policepardfaut"/>
    <w:uiPriority w:val="99"/>
    <w:semiHidden/>
    <w:unhideWhenUsed/>
    <w:rsid w:val="00500870"/>
    <w:rPr>
      <w:vertAlign w:val="superscript"/>
    </w:rPr>
  </w:style>
  <w:style w:type="paragraph" w:styleId="En-tte">
    <w:name w:val="header"/>
    <w:basedOn w:val="Normal"/>
    <w:link w:val="En-tteCar"/>
    <w:uiPriority w:val="99"/>
    <w:unhideWhenUsed/>
    <w:rsid w:val="00B86E5E"/>
    <w:pPr>
      <w:tabs>
        <w:tab w:val="center" w:pos="4536"/>
        <w:tab w:val="right" w:pos="9072"/>
      </w:tabs>
    </w:pPr>
  </w:style>
  <w:style w:type="character" w:customStyle="1" w:styleId="En-tteCar">
    <w:name w:val="En-tête Car"/>
    <w:basedOn w:val="Policepardfaut"/>
    <w:link w:val="En-tte"/>
    <w:uiPriority w:val="99"/>
    <w:rsid w:val="00B86E5E"/>
  </w:style>
  <w:style w:type="paragraph" w:styleId="Pieddepage">
    <w:name w:val="footer"/>
    <w:basedOn w:val="Normal"/>
    <w:link w:val="PieddepageCar"/>
    <w:uiPriority w:val="99"/>
    <w:unhideWhenUsed/>
    <w:rsid w:val="00B86E5E"/>
    <w:pPr>
      <w:tabs>
        <w:tab w:val="center" w:pos="4536"/>
        <w:tab w:val="right" w:pos="9072"/>
      </w:tabs>
    </w:pPr>
  </w:style>
  <w:style w:type="character" w:customStyle="1" w:styleId="PieddepageCar">
    <w:name w:val="Pied de page Car"/>
    <w:basedOn w:val="Policepardfaut"/>
    <w:link w:val="Pieddepage"/>
    <w:uiPriority w:val="99"/>
    <w:rsid w:val="00B86E5E"/>
  </w:style>
  <w:style w:type="character" w:styleId="Marquedecommentaire">
    <w:name w:val="annotation reference"/>
    <w:basedOn w:val="Policepardfaut"/>
    <w:uiPriority w:val="99"/>
    <w:semiHidden/>
    <w:unhideWhenUsed/>
    <w:rsid w:val="00831069"/>
    <w:rPr>
      <w:sz w:val="16"/>
      <w:szCs w:val="16"/>
    </w:rPr>
  </w:style>
  <w:style w:type="paragraph" w:styleId="Commentaire">
    <w:name w:val="annotation text"/>
    <w:basedOn w:val="Normal"/>
    <w:link w:val="CommentaireCar"/>
    <w:uiPriority w:val="99"/>
    <w:unhideWhenUsed/>
    <w:rsid w:val="00831069"/>
    <w:rPr>
      <w:sz w:val="20"/>
      <w:szCs w:val="20"/>
    </w:rPr>
  </w:style>
  <w:style w:type="character" w:customStyle="1" w:styleId="CommentaireCar">
    <w:name w:val="Commentaire Car"/>
    <w:basedOn w:val="Policepardfaut"/>
    <w:link w:val="Commentaire"/>
    <w:uiPriority w:val="99"/>
    <w:rsid w:val="00831069"/>
    <w:rPr>
      <w:sz w:val="20"/>
      <w:szCs w:val="20"/>
    </w:rPr>
  </w:style>
  <w:style w:type="paragraph" w:styleId="Objetducommentaire">
    <w:name w:val="annotation subject"/>
    <w:basedOn w:val="Commentaire"/>
    <w:next w:val="Commentaire"/>
    <w:link w:val="ObjetducommentaireCar"/>
    <w:uiPriority w:val="99"/>
    <w:semiHidden/>
    <w:unhideWhenUsed/>
    <w:rsid w:val="00831069"/>
    <w:rPr>
      <w:b/>
      <w:bCs/>
    </w:rPr>
  </w:style>
  <w:style w:type="character" w:customStyle="1" w:styleId="ObjetducommentaireCar">
    <w:name w:val="Objet du commentaire Car"/>
    <w:basedOn w:val="CommentaireCar"/>
    <w:link w:val="Objetducommentaire"/>
    <w:uiPriority w:val="99"/>
    <w:semiHidden/>
    <w:rsid w:val="00831069"/>
    <w:rPr>
      <w:b/>
      <w:bCs/>
      <w:sz w:val="20"/>
      <w:szCs w:val="20"/>
    </w:rPr>
  </w:style>
  <w:style w:type="table" w:styleId="Grilledutableau">
    <w:name w:val="Table Grid"/>
    <w:basedOn w:val="TableauNormal"/>
    <w:uiPriority w:val="39"/>
    <w:rsid w:val="005332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4-Accentuation2">
    <w:name w:val="Grid Table 4 Accent 2"/>
    <w:basedOn w:val="TableauNormal"/>
    <w:uiPriority w:val="49"/>
    <w:rsid w:val="00DF2508"/>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A360C-123D-42FA-A0C1-378232CCA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16</Pages>
  <Words>7308</Words>
  <Characters>40195</Characters>
  <Application>Microsoft Office Word</Application>
  <DocSecurity>0</DocSecurity>
  <Lines>334</Lines>
  <Paragraphs>94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Schiffers</dc:creator>
  <cp:keywords/>
  <dc:description/>
  <cp:lastModifiedBy>Microsoft Office User</cp:lastModifiedBy>
  <cp:revision>4</cp:revision>
  <cp:lastPrinted>2025-10-06T09:52:00Z</cp:lastPrinted>
  <dcterms:created xsi:type="dcterms:W3CDTF">2025-11-06T08:20:00Z</dcterms:created>
  <dcterms:modified xsi:type="dcterms:W3CDTF">2025-12-11T13:01:00Z</dcterms:modified>
</cp:coreProperties>
</file>